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08" w:type="dxa"/>
        <w:tblLayout w:type="fixed"/>
        <w:tblLook w:val="04A0" w:firstRow="1" w:lastRow="0" w:firstColumn="1" w:lastColumn="0" w:noHBand="0" w:noVBand="1"/>
      </w:tblPr>
      <w:tblGrid>
        <w:gridCol w:w="1418"/>
        <w:gridCol w:w="1093"/>
        <w:gridCol w:w="2951"/>
        <w:gridCol w:w="1768"/>
        <w:gridCol w:w="1275"/>
      </w:tblGrid>
      <w:tr w:rsidR="00980522" w:rsidRPr="00A90BD0" w14:paraId="4D725A8E" w14:textId="77777777" w:rsidTr="00496B4D">
        <w:trPr>
          <w:trHeight w:val="1408"/>
        </w:trPr>
        <w:tc>
          <w:tcPr>
            <w:tcW w:w="1418" w:type="dxa"/>
            <w:tcBorders>
              <w:top w:val="single" w:sz="4" w:space="0" w:color="auto"/>
              <w:bottom w:val="single" w:sz="4" w:space="0" w:color="auto"/>
            </w:tcBorders>
            <w:vAlign w:val="center"/>
          </w:tcPr>
          <w:p w14:paraId="68062BDF" w14:textId="1E5B9C2D" w:rsidR="00980522" w:rsidRPr="00A90BD0" w:rsidRDefault="005300C1" w:rsidP="00496B4D">
            <w:pPr>
              <w:pStyle w:val="BasicParagraph"/>
              <w:spacing w:line="240" w:lineRule="auto"/>
              <w:jc w:val="center"/>
              <w:rPr>
                <w:rFonts w:cs="Times New Roman"/>
                <w:b/>
                <w:bCs/>
              </w:rPr>
            </w:pPr>
            <w:r>
              <w:rPr>
                <w:rFonts w:cs="Times New Roman"/>
                <w:b/>
                <w:bCs/>
              </w:rPr>
              <w:t xml:space="preserve"> </w:t>
            </w:r>
            <w:r w:rsidR="009C0C01">
              <w:rPr>
                <w:rFonts w:cs="Times New Roman"/>
                <w:b/>
                <w:bCs/>
              </w:rPr>
              <w:t xml:space="preserve">  </w:t>
            </w:r>
            <w:r w:rsidR="00980522">
              <w:rPr>
                <w:noProof/>
                <w:lang w:val="id-ID" w:eastAsia="id-ID"/>
              </w:rPr>
              <w:drawing>
                <wp:inline distT="0" distB="0" distL="0" distR="0" wp14:anchorId="3D8ED6C7" wp14:editId="2BD2669D">
                  <wp:extent cx="771525" cy="804673"/>
                  <wp:effectExtent l="0" t="0" r="0"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273" cy="809625"/>
                          </a:xfrm>
                          <a:prstGeom prst="rect">
                            <a:avLst/>
                          </a:prstGeom>
                          <a:noFill/>
                          <a:ln>
                            <a:noFill/>
                          </a:ln>
                        </pic:spPr>
                      </pic:pic>
                    </a:graphicData>
                  </a:graphic>
                </wp:inline>
              </w:drawing>
            </w:r>
          </w:p>
        </w:tc>
        <w:tc>
          <w:tcPr>
            <w:tcW w:w="5812" w:type="dxa"/>
            <w:gridSpan w:val="3"/>
            <w:tcBorders>
              <w:top w:val="single" w:sz="4" w:space="0" w:color="auto"/>
              <w:bottom w:val="single" w:sz="4" w:space="0" w:color="auto"/>
            </w:tcBorders>
          </w:tcPr>
          <w:p w14:paraId="4FCE06D7" w14:textId="3DE3563B" w:rsidR="00980522" w:rsidRDefault="00980522" w:rsidP="00496B4D">
            <w:pPr>
              <w:pStyle w:val="BasicParagraph"/>
              <w:spacing w:line="240" w:lineRule="auto"/>
              <w:contextualSpacing/>
              <w:jc w:val="center"/>
              <w:rPr>
                <w:sz w:val="18"/>
              </w:rPr>
            </w:pPr>
            <w:r>
              <w:rPr>
                <w:sz w:val="18"/>
              </w:rPr>
              <w:t>GPJI Vol (</w:t>
            </w:r>
            <w:r w:rsidR="001E7072">
              <w:rPr>
                <w:sz w:val="18"/>
                <w:lang w:val="en-US"/>
              </w:rPr>
              <w:t>9</w:t>
            </w:r>
            <w:r>
              <w:rPr>
                <w:sz w:val="18"/>
              </w:rPr>
              <w:t>) (</w:t>
            </w:r>
            <w:r w:rsidR="001E7072">
              <w:rPr>
                <w:sz w:val="18"/>
              </w:rPr>
              <w:t>2025</w:t>
            </w:r>
            <w:r>
              <w:rPr>
                <w:sz w:val="18"/>
              </w:rPr>
              <w:t>)</w:t>
            </w:r>
          </w:p>
          <w:p w14:paraId="2DE95779" w14:textId="77777777" w:rsidR="00980522" w:rsidRDefault="00980522" w:rsidP="00496B4D">
            <w:pPr>
              <w:autoSpaceDE w:val="0"/>
              <w:autoSpaceDN w:val="0"/>
              <w:adjustRightInd w:val="0"/>
              <w:spacing w:before="0" w:beforeAutospacing="0" w:after="0" w:afterAutospacing="0"/>
              <w:ind w:left="0" w:right="0"/>
              <w:contextualSpacing/>
              <w:jc w:val="both"/>
              <w:textAlignment w:val="center"/>
              <w:rPr>
                <w:rFonts w:ascii="Calisto MT" w:hAnsi="Calisto MT" w:cs="Calisto MT"/>
                <w:color w:val="000000"/>
                <w:sz w:val="18"/>
                <w:szCs w:val="20"/>
                <w:lang w:val="en-GB"/>
              </w:rPr>
            </w:pPr>
          </w:p>
          <w:p w14:paraId="6BCD8FFA" w14:textId="77777777"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Gelanggang Pendidikan Jasmani Indonesia</w:t>
            </w:r>
          </w:p>
          <w:p w14:paraId="48194D8D" w14:textId="77777777" w:rsidR="00980522" w:rsidRDefault="0098052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p>
          <w:p w14:paraId="0DC0EB13" w14:textId="498F4549" w:rsidR="00980522" w:rsidRPr="00A60146" w:rsidRDefault="001E7072" w:rsidP="00496B4D">
            <w:pPr>
              <w:autoSpaceDE w:val="0"/>
              <w:autoSpaceDN w:val="0"/>
              <w:adjustRightInd w:val="0"/>
              <w:spacing w:before="0" w:beforeAutospacing="0" w:after="0" w:afterAutospacing="0"/>
              <w:ind w:left="0" w:right="0"/>
              <w:contextualSpacing/>
              <w:textAlignment w:val="center"/>
              <w:rPr>
                <w:rFonts w:ascii="Calisto MT" w:hAnsi="Calisto MT" w:cs="Calisto MT"/>
                <w:color w:val="000000"/>
                <w:sz w:val="18"/>
                <w:szCs w:val="18"/>
                <w:lang w:val="en-GB"/>
              </w:rPr>
            </w:pPr>
            <w:r w:rsidRPr="001E7072">
              <w:rPr>
                <w:rFonts w:ascii="Calisto MT" w:hAnsi="Calisto MT" w:cs="Calisto MT"/>
                <w:color w:val="000000"/>
                <w:sz w:val="18"/>
                <w:szCs w:val="18"/>
                <w:lang w:val="en-GB"/>
              </w:rPr>
              <w:t>https://journal-fik.um.ac.id/index.php/gpji</w:t>
            </w:r>
          </w:p>
        </w:tc>
        <w:tc>
          <w:tcPr>
            <w:tcW w:w="1275" w:type="dxa"/>
            <w:tcBorders>
              <w:top w:val="single" w:sz="4" w:space="0" w:color="auto"/>
              <w:bottom w:val="single" w:sz="4" w:space="0" w:color="auto"/>
            </w:tcBorders>
          </w:tcPr>
          <w:p w14:paraId="3D06EB01" w14:textId="77777777" w:rsidR="00980522" w:rsidRPr="00A90BD0" w:rsidRDefault="00980522" w:rsidP="00496B4D">
            <w:pPr>
              <w:pStyle w:val="BasicParagraph"/>
              <w:spacing w:line="240" w:lineRule="auto"/>
              <w:jc w:val="center"/>
              <w:rPr>
                <w:rFonts w:cs="Times New Roman"/>
                <w:sz w:val="18"/>
                <w:szCs w:val="18"/>
              </w:rPr>
            </w:pPr>
            <w:r>
              <w:rPr>
                <w:noProof/>
                <w:lang w:val="id-ID" w:eastAsia="id-ID"/>
              </w:rPr>
              <w:drawing>
                <wp:inline distT="0" distB="0" distL="0" distR="0" wp14:anchorId="41B7521A" wp14:editId="4F1B08FF">
                  <wp:extent cx="655806" cy="923925"/>
                  <wp:effectExtent l="0" t="0" r="0" b="0"/>
                  <wp:docPr id="1" name="Picture 1" descr="E:\JURNAL PENJAS DESEMBER\WhatsApp Image 2018-01-08 at 13.39.41 (2)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WhatsApp Image 2018-01-08 at 13.39.41 (2) - Copy.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806" cy="923925"/>
                          </a:xfrm>
                          <a:prstGeom prst="rect">
                            <a:avLst/>
                          </a:prstGeom>
                          <a:noFill/>
                          <a:ln>
                            <a:noFill/>
                          </a:ln>
                        </pic:spPr>
                      </pic:pic>
                    </a:graphicData>
                  </a:graphic>
                </wp:inline>
              </w:drawing>
            </w:r>
          </w:p>
        </w:tc>
      </w:tr>
      <w:tr w:rsidR="00980522" w:rsidRPr="00A90BD0" w14:paraId="115F316A" w14:textId="77777777" w:rsidTr="00496B4D">
        <w:tc>
          <w:tcPr>
            <w:tcW w:w="8505" w:type="dxa"/>
            <w:gridSpan w:val="5"/>
            <w:tcBorders>
              <w:top w:val="single" w:sz="4" w:space="0" w:color="auto"/>
              <w:bottom w:val="single" w:sz="4" w:space="0" w:color="auto"/>
            </w:tcBorders>
          </w:tcPr>
          <w:p w14:paraId="3708E795" w14:textId="77777777" w:rsidR="00980522" w:rsidRPr="00A90BD0" w:rsidRDefault="00980522" w:rsidP="00496B4D">
            <w:pPr>
              <w:pStyle w:val="Judul"/>
              <w:suppressAutoHyphens/>
              <w:spacing w:line="240" w:lineRule="auto"/>
              <w:rPr>
                <w:rFonts w:ascii="Calisto MT" w:hAnsi="Calisto MT" w:cs="Times New Roman"/>
              </w:rPr>
            </w:pPr>
          </w:p>
          <w:p w14:paraId="4F2A4B0B" w14:textId="0E7C9723" w:rsidR="00980522" w:rsidRPr="00481AD4" w:rsidRDefault="00481AD4" w:rsidP="00481AD4">
            <w:pPr>
              <w:autoSpaceDE w:val="0"/>
              <w:autoSpaceDN w:val="0"/>
              <w:adjustRightInd w:val="0"/>
              <w:spacing w:before="0" w:beforeAutospacing="0" w:after="0" w:afterAutospacing="0"/>
              <w:ind w:left="0" w:right="0"/>
              <w:textAlignment w:val="center"/>
              <w:rPr>
                <w:rFonts w:ascii="Calisto MT" w:hAnsi="Calisto MT" w:cs="Calisto MT"/>
                <w:b/>
                <w:bCs/>
                <w:iCs/>
                <w:caps/>
                <w:color w:val="000000"/>
                <w:sz w:val="24"/>
                <w:szCs w:val="24"/>
                <w:lang w:val="id-ID"/>
              </w:rPr>
            </w:pPr>
            <w:r w:rsidRPr="00481AD4">
              <w:rPr>
                <w:rFonts w:ascii="Calisto MT" w:hAnsi="Calisto MT" w:cs="Calisto MT"/>
                <w:b/>
                <w:bCs/>
                <w:iCs/>
                <w:caps/>
                <w:color w:val="000000"/>
                <w:sz w:val="24"/>
                <w:szCs w:val="24"/>
                <w:lang w:val="id-ID"/>
              </w:rPr>
              <w:t xml:space="preserve">REVOLUSI PENDIDIKAN: MENGURAIKAN KURIKULUM MERDEKA DENGAN MENAVIGASI </w:t>
            </w:r>
            <w:bookmarkStart w:id="0" w:name="_Hlk191967702"/>
            <w:r w:rsidRPr="00481AD4">
              <w:rPr>
                <w:rFonts w:ascii="Calisto MT" w:hAnsi="Calisto MT" w:cs="Calisto MT"/>
                <w:b/>
                <w:bCs/>
                <w:iCs/>
                <w:caps/>
                <w:color w:val="000000"/>
                <w:sz w:val="24"/>
                <w:szCs w:val="24"/>
                <w:lang w:val="id-ID"/>
              </w:rPr>
              <w:t>TANTANGAN PEMBELAJARAN PENDIDIKAN JASMANI</w:t>
            </w:r>
            <w:bookmarkEnd w:id="0"/>
            <w:r w:rsidRPr="00481AD4">
              <w:rPr>
                <w:rFonts w:ascii="Calisto MT" w:hAnsi="Calisto MT" w:cs="Calisto MT"/>
                <w:b/>
                <w:bCs/>
                <w:iCs/>
                <w:caps/>
                <w:color w:val="000000"/>
                <w:sz w:val="24"/>
                <w:szCs w:val="24"/>
                <w:lang w:val="id-ID"/>
              </w:rPr>
              <w:t xml:space="preserve"> OLEH GURU PJOK MELALUI LENSA UNESCO</w:t>
            </w:r>
          </w:p>
          <w:p w14:paraId="248DCB6D" w14:textId="77777777" w:rsidR="00980522" w:rsidRPr="00FA35D6" w:rsidRDefault="00980522" w:rsidP="00496B4D">
            <w:pPr>
              <w:autoSpaceDE w:val="0"/>
              <w:autoSpaceDN w:val="0"/>
              <w:adjustRightInd w:val="0"/>
              <w:spacing w:before="0" w:beforeAutospacing="0" w:after="0" w:afterAutospacing="0"/>
              <w:ind w:left="0" w:right="0"/>
              <w:textAlignment w:val="center"/>
              <w:rPr>
                <w:rFonts w:ascii="Calisto MT" w:hAnsi="Calisto MT" w:cs="Calisto MT"/>
                <w:b/>
                <w:bCs/>
                <w:color w:val="000000"/>
                <w:lang w:val="sv-SE"/>
              </w:rPr>
            </w:pPr>
          </w:p>
          <w:p w14:paraId="6EC1D3AF" w14:textId="6E1900CE" w:rsidR="00980522" w:rsidRPr="00B232AE" w:rsidRDefault="001E707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vertAlign w:val="superscript"/>
                <w:lang w:val="sk-SK"/>
              </w:rPr>
            </w:pPr>
            <w:bookmarkStart w:id="1" w:name="_Hlk192914729"/>
            <w:r w:rsidRPr="00BC1865">
              <w:rPr>
                <w:rFonts w:ascii="Calisto MT" w:hAnsi="Calisto MT" w:cs="Calisto MT"/>
                <w:b/>
                <w:bCs/>
                <w:color w:val="000000"/>
                <w:lang w:val="id-ID"/>
              </w:rPr>
              <w:t>Lokananta Teguh Hari Wiguno</w:t>
            </w:r>
            <w:r w:rsidRPr="001E7072">
              <w:rPr>
                <w:rFonts w:ascii="Calisto MT" w:hAnsi="Calisto MT" w:cs="Calisto MT"/>
                <w:b/>
                <w:bCs/>
                <w:color w:val="000000"/>
                <w:vertAlign w:val="superscript"/>
                <w:lang w:val="id-ID"/>
              </w:rPr>
              <w:t>1</w:t>
            </w:r>
            <w:r w:rsidRPr="008D6BB9">
              <w:rPr>
                <w:rFonts w:ascii="Wingdings" w:hAnsi="Wingdings" w:cs="Wingdings"/>
                <w:color w:val="000000"/>
                <w:sz w:val="16"/>
                <w:szCs w:val="16"/>
                <w:vertAlign w:val="superscript"/>
                <w:lang w:val="en-GB"/>
              </w:rPr>
              <w:t></w:t>
            </w:r>
            <w:r w:rsidRPr="001E7072">
              <w:rPr>
                <w:rFonts w:ascii="Calisto MT" w:hAnsi="Calisto MT" w:cs="Calisto MT"/>
                <w:b/>
                <w:bCs/>
                <w:color w:val="000000"/>
                <w:lang w:val="sv-SE"/>
              </w:rPr>
              <w:t>,</w:t>
            </w:r>
            <w:r>
              <w:rPr>
                <w:rFonts w:ascii="Calisto MT" w:hAnsi="Calisto MT" w:cs="Calisto MT"/>
                <w:b/>
                <w:bCs/>
                <w:color w:val="000000"/>
                <w:lang w:val="sv-SE"/>
              </w:rPr>
              <w:t xml:space="preserve"> </w:t>
            </w:r>
            <w:r w:rsidR="00AD31E8" w:rsidRPr="00B232AE">
              <w:rPr>
                <w:rFonts w:ascii="Calisto MT" w:hAnsi="Calisto MT" w:cs="Calisto MT"/>
                <w:b/>
                <w:bCs/>
                <w:color w:val="000000"/>
                <w:lang w:val="id-ID"/>
              </w:rPr>
              <w:t>Febrita Paulina Heynoek</w:t>
            </w:r>
            <w:bookmarkEnd w:id="1"/>
            <w:r w:rsidR="00980522" w:rsidRPr="00BC1865">
              <w:rPr>
                <w:rFonts w:ascii="Calisto MT" w:hAnsi="Calisto MT" w:cs="Calisto MT"/>
                <w:b/>
                <w:bCs/>
                <w:color w:val="000000"/>
                <w:vertAlign w:val="superscript"/>
                <w:lang w:val="sv-SE"/>
              </w:rPr>
              <w:t>1</w:t>
            </w:r>
            <w:r w:rsidR="00980522" w:rsidRPr="00BC1865">
              <w:rPr>
                <w:rFonts w:ascii="Calisto MT" w:hAnsi="Calisto MT" w:cs="Calisto MT"/>
                <w:b/>
                <w:bCs/>
                <w:color w:val="000000"/>
                <w:lang w:val="sv-SE"/>
              </w:rPr>
              <w:t xml:space="preserve">,  </w:t>
            </w:r>
            <w:r w:rsidR="00980522" w:rsidRPr="00BC1865">
              <w:rPr>
                <w:rFonts w:ascii="Calisto MT" w:hAnsi="Calisto MT" w:cs="Calisto MT"/>
                <w:b/>
                <w:bCs/>
                <w:color w:val="000000"/>
                <w:vertAlign w:val="superscript"/>
                <w:lang w:val="sv-SE"/>
              </w:rPr>
              <w:t>2</w:t>
            </w:r>
            <w:r w:rsidR="00980522" w:rsidRPr="00BC1865">
              <w:rPr>
                <w:rFonts w:ascii="Calisto MT" w:hAnsi="Calisto MT" w:cs="Calisto MT"/>
                <w:b/>
                <w:bCs/>
                <w:color w:val="000000"/>
                <w:lang w:val="sv-SE"/>
              </w:rPr>
              <w:t xml:space="preserve">, </w:t>
            </w:r>
            <w:r w:rsidR="00B232AE" w:rsidRPr="00B232AE">
              <w:rPr>
                <w:rFonts w:ascii="Calisto MT" w:hAnsi="Calisto MT" w:cs="Calisto MT"/>
                <w:b/>
                <w:bCs/>
                <w:color w:val="000000"/>
                <w:lang w:val="id-ID"/>
              </w:rPr>
              <w:t>Ari Wibowo Kurniawan</w:t>
            </w:r>
            <w:r w:rsidR="00980522" w:rsidRPr="00BC1865">
              <w:rPr>
                <w:rFonts w:ascii="Calisto MT" w:hAnsi="Calisto MT" w:cs="Calisto MT"/>
                <w:b/>
                <w:bCs/>
                <w:color w:val="000000"/>
                <w:vertAlign w:val="superscript"/>
                <w:lang w:val="sv-SE"/>
              </w:rPr>
              <w:t>3</w:t>
            </w:r>
            <w:r w:rsidR="00980522" w:rsidRPr="00BC1865">
              <w:rPr>
                <w:rFonts w:ascii="Calisto MT" w:hAnsi="Calisto MT" w:cs="Calisto MT"/>
                <w:b/>
                <w:bCs/>
                <w:color w:val="000000"/>
                <w:lang w:val="sv-SE"/>
              </w:rPr>
              <w:t xml:space="preserve"> </w:t>
            </w:r>
            <w:r w:rsidR="00B232AE" w:rsidRPr="00BC1865">
              <w:rPr>
                <w:rFonts w:ascii="Calisto MT" w:hAnsi="Calisto MT" w:cs="Calisto MT"/>
                <w:b/>
                <w:bCs/>
                <w:color w:val="000000"/>
                <w:lang w:val="sv-SE"/>
              </w:rPr>
              <w:t xml:space="preserve">, </w:t>
            </w:r>
            <w:r w:rsidR="00B232AE" w:rsidRPr="00B232AE">
              <w:rPr>
                <w:rFonts w:ascii="Calisto MT" w:hAnsi="Calisto MT" w:cs="Calisto MT"/>
                <w:b/>
                <w:bCs/>
                <w:color w:val="000000"/>
                <w:lang w:val="id-ID"/>
              </w:rPr>
              <w:t>Rama Kurniawan</w:t>
            </w:r>
            <w:r w:rsidR="00B232AE" w:rsidRPr="00B232AE">
              <w:rPr>
                <w:rFonts w:ascii="Calisto MT" w:hAnsi="Calisto MT" w:cs="Calisto MT"/>
                <w:b/>
                <w:bCs/>
                <w:color w:val="000000"/>
                <w:vertAlign w:val="superscript"/>
                <w:lang w:val="sk-SK"/>
              </w:rPr>
              <w:t xml:space="preserve"> 4</w:t>
            </w:r>
            <w:r w:rsidR="00AD31E8" w:rsidRPr="00BC1865">
              <w:rPr>
                <w:rFonts w:ascii="Calisto MT" w:hAnsi="Calisto MT" w:cs="Calisto MT"/>
                <w:b/>
                <w:bCs/>
                <w:color w:val="000000"/>
                <w:lang w:val="sv-SE"/>
              </w:rPr>
              <w:t xml:space="preserve">, </w:t>
            </w:r>
            <w:r w:rsidR="00AD31E8">
              <w:rPr>
                <w:rFonts w:ascii="Calisto MT" w:hAnsi="Calisto MT" w:cs="Calisto MT"/>
                <w:b/>
                <w:bCs/>
                <w:color w:val="000000"/>
                <w:lang w:val="id-ID"/>
              </w:rPr>
              <w:t>Cahyo Nugroho Sigit</w:t>
            </w:r>
            <w:r w:rsidR="00AD31E8" w:rsidRPr="00B232AE">
              <w:rPr>
                <w:rFonts w:ascii="Calisto MT" w:hAnsi="Calisto MT" w:cs="Calisto MT"/>
                <w:b/>
                <w:bCs/>
                <w:color w:val="000000"/>
                <w:vertAlign w:val="superscript"/>
                <w:lang w:val="sk-SK"/>
              </w:rPr>
              <w:t xml:space="preserve"> </w:t>
            </w:r>
            <w:r w:rsidR="00AD31E8">
              <w:rPr>
                <w:rFonts w:ascii="Calisto MT" w:hAnsi="Calisto MT" w:cs="Calisto MT"/>
                <w:b/>
                <w:bCs/>
                <w:color w:val="000000"/>
                <w:vertAlign w:val="superscript"/>
                <w:lang w:val="sk-SK"/>
              </w:rPr>
              <w:t>5</w:t>
            </w:r>
          </w:p>
          <w:p w14:paraId="1CE2DE88" w14:textId="77777777" w:rsidR="00980522" w:rsidRPr="00BC1865"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b/>
                <w:bCs/>
                <w:color w:val="000000"/>
                <w:lang w:val="sv-SE"/>
              </w:rPr>
            </w:pPr>
          </w:p>
          <w:p w14:paraId="467FC7EB" w14:textId="785BD6E4" w:rsidR="00980522" w:rsidRPr="009328FF" w:rsidRDefault="009328FF"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b/>
                <w:bCs/>
                <w:sz w:val="20"/>
                <w:szCs w:val="24"/>
              </w:rPr>
            </w:pPr>
            <w:r>
              <w:rPr>
                <w:rFonts w:ascii="Calisto MT" w:hAnsi="Calisto MT" w:cs="Times New Roman"/>
                <w:sz w:val="20"/>
                <w:szCs w:val="24"/>
              </w:rPr>
              <w:t>Universitas Negeri Malang</w:t>
            </w:r>
            <w:r w:rsidRPr="009328FF">
              <w:rPr>
                <w:rFonts w:ascii="Calisto MT" w:hAnsi="Calisto MT" w:cs="Times New Roman"/>
                <w:sz w:val="20"/>
                <w:szCs w:val="24"/>
              </w:rPr>
              <w:t>, Indonesia</w:t>
            </w:r>
            <w:r w:rsidRPr="009328FF">
              <w:rPr>
                <w:rFonts w:ascii="Calisto MT" w:hAnsi="Calisto MT" w:cs="Times New Roman"/>
                <w:b/>
                <w:sz w:val="20"/>
                <w:szCs w:val="24"/>
                <w:vertAlign w:val="superscript"/>
                <w:lang w:val="sk-SK"/>
              </w:rPr>
              <w:t>1234</w:t>
            </w:r>
          </w:p>
          <w:p w14:paraId="2F256B46" w14:textId="63FA1026" w:rsidR="00980522" w:rsidRPr="004D74D2"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sz w:val="20"/>
                <w:szCs w:val="24"/>
              </w:rPr>
            </w:pPr>
            <w:r>
              <w:rPr>
                <w:rFonts w:ascii="Calisto MT" w:hAnsi="Calisto MT" w:cs="Times New Roman"/>
                <w:sz w:val="20"/>
                <w:szCs w:val="24"/>
              </w:rPr>
              <w:t xml:space="preserve">e-mail korespondensi: </w:t>
            </w:r>
            <w:hyperlink r:id="rId10" w:history="1">
              <w:r w:rsidR="00372592" w:rsidRPr="00372592">
                <w:rPr>
                  <w:rStyle w:val="Hyperlink"/>
                  <w:rFonts w:ascii="Calisto MT" w:hAnsi="Calisto MT" w:cs="Times New Roman"/>
                  <w:sz w:val="20"/>
                  <w:szCs w:val="24"/>
                </w:rPr>
                <w:t>lokananta.teguh.fik@um.ac.id</w:t>
              </w:r>
            </w:hyperlink>
            <w:r w:rsidR="00372592" w:rsidRPr="00372592">
              <w:rPr>
                <w:rFonts w:ascii="Calisto MT" w:hAnsi="Calisto MT" w:cs="Times New Roman"/>
                <w:sz w:val="20"/>
                <w:szCs w:val="24"/>
              </w:rPr>
              <w:t xml:space="preserve"> </w:t>
            </w:r>
            <w:r>
              <w:rPr>
                <w:rFonts w:ascii="Calisto MT" w:hAnsi="Calisto MT" w:cs="Times New Roman"/>
                <w:sz w:val="20"/>
                <w:szCs w:val="24"/>
              </w:rPr>
              <w:t>(1</w:t>
            </w:r>
            <w:r>
              <w:rPr>
                <w:rFonts w:ascii="Calisto MT" w:hAnsi="Calisto MT" w:cs="Times New Roman"/>
                <w:sz w:val="20"/>
                <w:szCs w:val="24"/>
                <w:vertAlign w:val="superscript"/>
              </w:rPr>
              <w:t xml:space="preserve">st </w:t>
            </w:r>
            <w:r>
              <w:rPr>
                <w:rFonts w:ascii="Calisto MT" w:hAnsi="Calisto MT" w:cs="Times New Roman"/>
                <w:sz w:val="20"/>
                <w:szCs w:val="24"/>
              </w:rPr>
              <w:t>Author e-mail)</w:t>
            </w:r>
            <w:r w:rsidRPr="008D6BB9">
              <w:rPr>
                <w:rFonts w:ascii="Wingdings" w:hAnsi="Wingdings" w:cs="Wingdings"/>
                <w:color w:val="000000"/>
                <w:sz w:val="16"/>
                <w:szCs w:val="16"/>
                <w:vertAlign w:val="superscript"/>
                <w:lang w:val="en-GB"/>
              </w:rPr>
              <w:t></w:t>
            </w:r>
          </w:p>
          <w:p w14:paraId="49911B4B" w14:textId="77777777" w:rsidR="00980522"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Times New Roman"/>
                <w:sz w:val="20"/>
                <w:szCs w:val="24"/>
              </w:rPr>
            </w:pPr>
          </w:p>
          <w:p w14:paraId="5ED0F54B" w14:textId="77777777" w:rsidR="00980522" w:rsidRPr="00CB4D18"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Cs/>
                <w:color w:val="000000"/>
                <w:sz w:val="20"/>
                <w:szCs w:val="20"/>
              </w:rPr>
            </w:pPr>
          </w:p>
        </w:tc>
      </w:tr>
      <w:tr w:rsidR="00980522" w:rsidRPr="00A90BD0" w14:paraId="7CF9524A" w14:textId="77777777" w:rsidTr="0011319F">
        <w:trPr>
          <w:trHeight w:val="265"/>
        </w:trPr>
        <w:tc>
          <w:tcPr>
            <w:tcW w:w="2511" w:type="dxa"/>
            <w:gridSpan w:val="2"/>
            <w:tcBorders>
              <w:top w:val="single" w:sz="4" w:space="0" w:color="auto"/>
              <w:bottom w:val="single" w:sz="4" w:space="0" w:color="auto"/>
            </w:tcBorders>
          </w:tcPr>
          <w:p w14:paraId="0BF769F5" w14:textId="77777777" w:rsidR="00980522" w:rsidRPr="00481AD4" w:rsidRDefault="00980522" w:rsidP="00496B4D">
            <w:pPr>
              <w:pStyle w:val="BasicParagraph"/>
              <w:spacing w:line="240" w:lineRule="auto"/>
              <w:rPr>
                <w:rFonts w:cs="Times New Roman"/>
                <w:position w:val="-18"/>
                <w:lang w:val="sv-SE"/>
              </w:rPr>
            </w:pPr>
            <w:r w:rsidRPr="00481AD4">
              <w:rPr>
                <w:rFonts w:cs="Times New Roman"/>
                <w:b/>
                <w:bCs/>
                <w:position w:val="-20"/>
                <w:sz w:val="22"/>
                <w:szCs w:val="22"/>
                <w:lang w:val="sv-SE"/>
              </w:rPr>
              <w:t>Info Artikel</w:t>
            </w:r>
          </w:p>
          <w:p w14:paraId="2DA88331" w14:textId="77777777" w:rsidR="00980522" w:rsidRPr="00481AD4" w:rsidRDefault="00980522" w:rsidP="00496B4D">
            <w:pPr>
              <w:pStyle w:val="BasicParagraph"/>
              <w:spacing w:line="240" w:lineRule="auto"/>
              <w:rPr>
                <w:rFonts w:cs="Times New Roman"/>
                <w:lang w:val="sv-SE"/>
              </w:rPr>
            </w:pPr>
            <w:r w:rsidRPr="00481AD4">
              <w:rPr>
                <w:rFonts w:cs="Times New Roman"/>
                <w:lang w:val="sv-SE"/>
              </w:rPr>
              <w:t>____________________</w:t>
            </w:r>
          </w:p>
          <w:p w14:paraId="34BDC891" w14:textId="77777777" w:rsidR="00980522" w:rsidRPr="00481AD4" w:rsidRDefault="00980522" w:rsidP="00496B4D">
            <w:pPr>
              <w:pStyle w:val="BasicParagraph"/>
              <w:spacing w:line="240" w:lineRule="auto"/>
              <w:contextualSpacing/>
              <w:rPr>
                <w:rFonts w:cs="Times New Roman"/>
                <w:position w:val="-6"/>
                <w:sz w:val="16"/>
                <w:szCs w:val="16"/>
                <w:lang w:val="sv-SE"/>
              </w:rPr>
            </w:pPr>
            <w:r w:rsidRPr="00481AD4">
              <w:rPr>
                <w:rFonts w:cs="Times New Roman"/>
                <w:i/>
                <w:iCs/>
                <w:position w:val="-6"/>
                <w:sz w:val="16"/>
                <w:szCs w:val="16"/>
                <w:lang w:val="sv-SE"/>
              </w:rPr>
              <w:t>Sejarah Artikel:</w:t>
            </w:r>
          </w:p>
          <w:p w14:paraId="6FC42D60" w14:textId="3ADB02CB" w:rsidR="00980522" w:rsidRPr="00481AD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color w:val="000000"/>
                <w:position w:val="-6"/>
                <w:sz w:val="16"/>
                <w:szCs w:val="16"/>
                <w:lang w:val="sv-SE"/>
              </w:rPr>
            </w:pPr>
            <w:r w:rsidRPr="00481AD4">
              <w:rPr>
                <w:rFonts w:ascii="Calisto MT" w:hAnsi="Calisto MT" w:cs="Calisto MT"/>
                <w:color w:val="000000"/>
                <w:position w:val="-6"/>
                <w:sz w:val="16"/>
                <w:szCs w:val="16"/>
                <w:lang w:val="sv-SE"/>
              </w:rPr>
              <w:t xml:space="preserve">Diterima: </w:t>
            </w:r>
            <w:r w:rsidR="001E7072">
              <w:rPr>
                <w:rFonts w:ascii="Calisto MT" w:hAnsi="Calisto MT" w:cs="Calisto MT"/>
                <w:color w:val="000000"/>
                <w:position w:val="-6"/>
                <w:sz w:val="16"/>
                <w:szCs w:val="16"/>
                <w:lang w:val="sv-SE"/>
              </w:rPr>
              <w:t>Februari</w:t>
            </w:r>
            <w:r w:rsidRPr="00481AD4">
              <w:rPr>
                <w:rFonts w:ascii="Calisto MT" w:hAnsi="Calisto MT" w:cs="Calisto MT"/>
                <w:color w:val="000000"/>
                <w:position w:val="-6"/>
                <w:sz w:val="16"/>
                <w:szCs w:val="16"/>
                <w:lang w:val="sv-SE"/>
              </w:rPr>
              <w:t>-</w:t>
            </w:r>
            <w:r w:rsidR="001E7072">
              <w:rPr>
                <w:rFonts w:ascii="Calisto MT" w:hAnsi="Calisto MT" w:cs="Calisto MT"/>
                <w:color w:val="000000"/>
                <w:position w:val="-6"/>
                <w:sz w:val="16"/>
                <w:szCs w:val="16"/>
                <w:lang w:val="sv-SE"/>
              </w:rPr>
              <w:t>2025</w:t>
            </w:r>
          </w:p>
          <w:p w14:paraId="540DBFBF" w14:textId="04DC2CAD" w:rsidR="00980522" w:rsidRPr="00481AD4" w:rsidRDefault="00980522" w:rsidP="00496B4D">
            <w:pPr>
              <w:autoSpaceDE w:val="0"/>
              <w:autoSpaceDN w:val="0"/>
              <w:adjustRightInd w:val="0"/>
              <w:spacing w:before="0" w:beforeAutospacing="0" w:after="0" w:afterAutospacing="0"/>
              <w:ind w:left="0" w:right="0"/>
              <w:contextualSpacing/>
              <w:jc w:val="left"/>
              <w:textAlignment w:val="center"/>
              <w:rPr>
                <w:rFonts w:ascii="Calisto MT" w:hAnsi="Calisto MT" w:cs="Calisto MT"/>
                <w:b/>
                <w:color w:val="000000"/>
                <w:position w:val="-6"/>
                <w:sz w:val="16"/>
                <w:szCs w:val="16"/>
                <w:lang w:val="sv-SE"/>
              </w:rPr>
            </w:pPr>
            <w:r w:rsidRPr="00481AD4">
              <w:rPr>
                <w:rFonts w:ascii="Calisto MT" w:hAnsi="Calisto MT" w:cs="Calisto MT"/>
                <w:color w:val="000000"/>
                <w:position w:val="-6"/>
                <w:sz w:val="16"/>
                <w:szCs w:val="16"/>
                <w:lang w:val="sv-SE"/>
              </w:rPr>
              <w:t xml:space="preserve">Disetujui: </w:t>
            </w:r>
            <w:r w:rsidR="001E7072">
              <w:rPr>
                <w:rFonts w:ascii="Calisto MT" w:hAnsi="Calisto MT" w:cs="Calisto MT"/>
                <w:color w:val="000000"/>
                <w:position w:val="-6"/>
                <w:sz w:val="16"/>
                <w:szCs w:val="16"/>
                <w:lang w:val="sv-SE"/>
              </w:rPr>
              <w:t>Mei</w:t>
            </w:r>
            <w:r w:rsidRPr="00481AD4">
              <w:rPr>
                <w:rFonts w:ascii="Calisto MT" w:hAnsi="Calisto MT" w:cs="Calisto MT"/>
                <w:color w:val="000000"/>
                <w:position w:val="-6"/>
                <w:sz w:val="16"/>
                <w:szCs w:val="16"/>
                <w:lang w:val="sv-SE"/>
              </w:rPr>
              <w:t>-</w:t>
            </w:r>
            <w:r w:rsidR="001E7072">
              <w:rPr>
                <w:rFonts w:ascii="Calisto MT" w:hAnsi="Calisto MT" w:cs="Calisto MT"/>
                <w:color w:val="000000"/>
                <w:position w:val="-6"/>
                <w:sz w:val="16"/>
                <w:szCs w:val="16"/>
                <w:lang w:val="sv-SE"/>
              </w:rPr>
              <w:t>2025</w:t>
            </w:r>
            <w:r w:rsidRPr="00481AD4">
              <w:rPr>
                <w:rFonts w:ascii="Calisto MT" w:hAnsi="Calisto MT" w:cs="Calisto MT"/>
                <w:color w:val="000000"/>
                <w:position w:val="-6"/>
                <w:sz w:val="16"/>
                <w:szCs w:val="16"/>
                <w:lang w:val="sv-SE"/>
              </w:rPr>
              <w:t xml:space="preserve"> Dipublikasikan : </w:t>
            </w:r>
            <w:r w:rsidR="001E7072">
              <w:rPr>
                <w:rFonts w:ascii="Calisto MT" w:hAnsi="Calisto MT" w:cs="Calisto MT"/>
                <w:color w:val="000000"/>
                <w:position w:val="-6"/>
                <w:sz w:val="16"/>
                <w:szCs w:val="16"/>
                <w:lang w:val="sv-SE"/>
              </w:rPr>
              <w:t>Juni</w:t>
            </w:r>
            <w:r w:rsidRPr="00481AD4">
              <w:rPr>
                <w:rFonts w:ascii="Calisto MT" w:hAnsi="Calisto MT" w:cs="Calisto MT"/>
                <w:color w:val="000000"/>
                <w:position w:val="-6"/>
                <w:sz w:val="16"/>
                <w:szCs w:val="16"/>
                <w:lang w:val="sv-SE"/>
              </w:rPr>
              <w:t>-</w:t>
            </w:r>
            <w:r w:rsidR="001E7072">
              <w:rPr>
                <w:rFonts w:ascii="Calisto MT" w:hAnsi="Calisto MT" w:cs="Calisto MT"/>
                <w:color w:val="000000"/>
                <w:position w:val="-6"/>
                <w:sz w:val="16"/>
                <w:szCs w:val="16"/>
                <w:lang w:val="sv-SE"/>
              </w:rPr>
              <w:t>2025</w:t>
            </w:r>
          </w:p>
          <w:p w14:paraId="2E81F69A" w14:textId="77777777" w:rsidR="00980522" w:rsidRPr="0004499B" w:rsidRDefault="00980522" w:rsidP="00496B4D">
            <w:pPr>
              <w:pStyle w:val="BasicParagraph"/>
              <w:spacing w:line="240" w:lineRule="auto"/>
              <w:rPr>
                <w:rFonts w:cs="Times New Roman"/>
                <w:lang w:val="sv-SE"/>
              </w:rPr>
            </w:pPr>
            <w:r w:rsidRPr="0004499B">
              <w:rPr>
                <w:rFonts w:cs="Times New Roman"/>
                <w:lang w:val="sv-SE"/>
              </w:rPr>
              <w:t>____________________</w:t>
            </w:r>
          </w:p>
          <w:p w14:paraId="4ADE4138" w14:textId="77777777" w:rsidR="00980522" w:rsidRPr="0004499B" w:rsidRDefault="00980522" w:rsidP="00496B4D">
            <w:pPr>
              <w:pStyle w:val="BasicParagraph"/>
              <w:pBdr>
                <w:bottom w:val="single" w:sz="4" w:space="1" w:color="auto"/>
              </w:pBdr>
              <w:spacing w:line="240" w:lineRule="auto"/>
              <w:rPr>
                <w:rFonts w:cs="Times New Roman"/>
                <w:i/>
                <w:iCs/>
                <w:sz w:val="16"/>
                <w:szCs w:val="16"/>
                <w:lang w:val="sv-SE"/>
              </w:rPr>
            </w:pPr>
            <w:r w:rsidRPr="0004499B">
              <w:rPr>
                <w:rFonts w:cs="Times New Roman"/>
                <w:i/>
                <w:iCs/>
                <w:sz w:val="16"/>
                <w:szCs w:val="16"/>
                <w:lang w:val="sv-SE"/>
              </w:rPr>
              <w:t>Kata Kunci:</w:t>
            </w:r>
          </w:p>
          <w:p w14:paraId="4B78E1ED" w14:textId="5A1C2E33" w:rsidR="00980522" w:rsidRPr="0004499B" w:rsidRDefault="00E0220D" w:rsidP="00496B4D">
            <w:pPr>
              <w:pStyle w:val="BasicParagraph"/>
              <w:pBdr>
                <w:bottom w:val="single" w:sz="4" w:space="1" w:color="auto"/>
              </w:pBdr>
              <w:spacing w:line="240" w:lineRule="auto"/>
              <w:rPr>
                <w:rFonts w:cs="Times New Roman"/>
                <w:bCs/>
                <w:sz w:val="16"/>
                <w:szCs w:val="16"/>
                <w:lang w:val="sv-SE"/>
              </w:rPr>
            </w:pPr>
            <w:r w:rsidRPr="0004499B">
              <w:rPr>
                <w:rFonts w:cs="Times New Roman"/>
                <w:bCs/>
                <w:sz w:val="16"/>
                <w:szCs w:val="16"/>
                <w:lang w:val="sv-SE"/>
              </w:rPr>
              <w:t>Revolusi pendidikan, unesco, pendidikan jasmani</w:t>
            </w:r>
            <w:r w:rsidR="00980522" w:rsidRPr="0004499B">
              <w:rPr>
                <w:rFonts w:cs="Times New Roman"/>
                <w:bCs/>
                <w:i/>
                <w:sz w:val="16"/>
                <w:szCs w:val="16"/>
                <w:lang w:val="sv-SE"/>
              </w:rPr>
              <w:t xml:space="preserve">. </w:t>
            </w:r>
          </w:p>
        </w:tc>
        <w:tc>
          <w:tcPr>
            <w:tcW w:w="5994" w:type="dxa"/>
            <w:gridSpan w:val="3"/>
            <w:tcBorders>
              <w:top w:val="single" w:sz="4" w:space="0" w:color="auto"/>
              <w:bottom w:val="single" w:sz="4" w:space="0" w:color="auto"/>
            </w:tcBorders>
          </w:tcPr>
          <w:p w14:paraId="7780201B" w14:textId="77777777" w:rsidR="00980522" w:rsidRPr="00481AD4" w:rsidRDefault="00980522" w:rsidP="00496B4D">
            <w:pPr>
              <w:pStyle w:val="BasicParagraph"/>
              <w:suppressAutoHyphens/>
              <w:spacing w:line="240" w:lineRule="auto"/>
              <w:rPr>
                <w:rFonts w:cs="Times New Roman"/>
                <w:sz w:val="24"/>
                <w:szCs w:val="24"/>
                <w:lang w:val="sv-SE"/>
              </w:rPr>
            </w:pPr>
            <w:r w:rsidRPr="00481AD4">
              <w:rPr>
                <w:rFonts w:cs="Times New Roman"/>
                <w:b/>
                <w:bCs/>
                <w:position w:val="-18"/>
                <w:sz w:val="22"/>
                <w:szCs w:val="22"/>
                <w:lang w:val="sv-SE"/>
              </w:rPr>
              <w:t>Abstrak</w:t>
            </w:r>
          </w:p>
          <w:p w14:paraId="095C91F1" w14:textId="48DC2969" w:rsidR="00980522" w:rsidRPr="00481AD4" w:rsidRDefault="00980522" w:rsidP="00496B4D">
            <w:pPr>
              <w:pStyle w:val="AbstakIndo"/>
              <w:suppressAutoHyphens/>
              <w:spacing w:line="240" w:lineRule="auto"/>
              <w:rPr>
                <w:rFonts w:ascii="Calisto MT" w:hAnsi="Calisto MT" w:cs="Times New Roman"/>
                <w:lang w:val="sv-SE"/>
              </w:rPr>
            </w:pPr>
            <w:r w:rsidRPr="00481AD4">
              <w:rPr>
                <w:rFonts w:ascii="Calisto MT" w:hAnsi="Calisto MT" w:cs="Times New Roman"/>
                <w:lang w:val="sv-SE"/>
              </w:rPr>
              <w:t>_________________________________________________________</w:t>
            </w:r>
          </w:p>
          <w:p w14:paraId="3F576DD8" w14:textId="77777777" w:rsidR="00980522" w:rsidRPr="00481AD4" w:rsidRDefault="00980522" w:rsidP="00496B4D">
            <w:pPr>
              <w:pStyle w:val="IsiAbstrakIndo"/>
              <w:suppressAutoHyphens/>
              <w:spacing w:line="240" w:lineRule="auto"/>
              <w:rPr>
                <w:b w:val="0"/>
                <w:iCs/>
                <w:lang w:val="sv-SE"/>
              </w:rPr>
            </w:pPr>
          </w:p>
          <w:p w14:paraId="26D45DA9" w14:textId="48359C7B" w:rsidR="00F86BE4" w:rsidRPr="0011319F" w:rsidRDefault="00AD31E8" w:rsidP="00496B4D">
            <w:pPr>
              <w:pStyle w:val="IsiAbstrakIndo"/>
              <w:suppressAutoHyphens/>
              <w:spacing w:line="240" w:lineRule="auto"/>
              <w:rPr>
                <w:b w:val="0"/>
                <w:bCs w:val="0"/>
                <w:lang w:val="sk-SK"/>
              </w:rPr>
            </w:pPr>
            <w:r w:rsidRPr="00AD31E8">
              <w:rPr>
                <w:b w:val="0"/>
                <w:bCs w:val="0"/>
                <w:lang w:val="sv-SE"/>
              </w:rPr>
              <w:t>Esensi terkait hak dan kewajiban dasar pendidikan jasmani dan olahraga bagi tiap individu diatur secara universal melalui piagam internasional pendidikan jasmani, aktivitas fisik dan olahraga oleh UNESCO. Penelitian ini, bertujuan untuk menguraikan pelaksanaan pendidikan jasmani dengan kurikulum merdeka di kota malang. Dengan metode campuran pararel konvergen peneliti mengiterpretasikan data kuantitatif dan kualitatif secara bersamaan, terhadap 45 responden yang dipilih secara kuota sampling. Hasil penelitian menyebutkan bahwa secara kuantitatif pelaksanaan pembelajaran berada pada kategori sangat baik. Namun pada aspek kesetaraan hak, program yang bermanfaat, kontribusi stakeholder, ketersediaan sarana &amp; prasarana, serta kerjasama internasional berdasarkan pernyataan secara kualitatif masih perlu beberapa perbaikan. Simpulan dan saran dari penelitian ini, secara ringkas mengerucut pada penekanan pelaksanaan pendidikan jasmani yang inklusif, perancangan kurikulum dengan fokus pada pendekatan holistik, peningkatan peran stakeholder dalam pendanaan fasilitas olahraga, penyediaan sarana dan prasarana yang layak dan standar, serta perlunya kerjasama internasional untuk mengembangkan pelaksanaan pendidikan jasmani yang unggul dalalm menekan pola hidup pasif pada remaja</w:t>
            </w:r>
          </w:p>
          <w:p w14:paraId="486152FD" w14:textId="77777777" w:rsidR="00980522" w:rsidRPr="00E0220D" w:rsidRDefault="00980522" w:rsidP="00496B4D">
            <w:pPr>
              <w:pStyle w:val="IsiAbstrakIndo"/>
              <w:suppressAutoHyphens/>
              <w:spacing w:line="240" w:lineRule="auto"/>
              <w:rPr>
                <w:rFonts w:cs="Times New Roman"/>
                <w:i/>
                <w:lang w:val="sk-SK"/>
              </w:rPr>
            </w:pPr>
          </w:p>
          <w:p w14:paraId="58B97DF0" w14:textId="77777777" w:rsidR="00980522" w:rsidRPr="0004499B" w:rsidRDefault="00980522" w:rsidP="00496B4D">
            <w:pPr>
              <w:pStyle w:val="AbstakIndo"/>
              <w:suppressAutoHyphens/>
              <w:spacing w:line="240" w:lineRule="auto"/>
              <w:rPr>
                <w:rFonts w:ascii="Calisto MT" w:hAnsi="Calisto MT" w:cs="Times New Roman"/>
                <w:iCs/>
                <w:position w:val="-14"/>
                <w:sz w:val="24"/>
                <w:szCs w:val="24"/>
                <w:lang w:val="en-US"/>
              </w:rPr>
            </w:pPr>
            <w:r w:rsidRPr="0004499B">
              <w:rPr>
                <w:rFonts w:ascii="Calisto MT" w:hAnsi="Calisto MT" w:cs="Times New Roman"/>
                <w:b/>
                <w:bCs/>
                <w:iCs/>
                <w:position w:val="-14"/>
                <w:sz w:val="22"/>
                <w:szCs w:val="22"/>
                <w:lang w:val="en-US"/>
              </w:rPr>
              <w:t>Abstract</w:t>
            </w:r>
          </w:p>
          <w:p w14:paraId="5F214BB5" w14:textId="228FA65E" w:rsidR="00980522" w:rsidRPr="0004499B" w:rsidRDefault="00980522" w:rsidP="00496B4D">
            <w:pPr>
              <w:pStyle w:val="BasicParagraph"/>
              <w:suppressAutoHyphens/>
              <w:spacing w:line="240" w:lineRule="auto"/>
              <w:rPr>
                <w:rFonts w:cs="Times New Roman"/>
                <w:lang w:val="en-US"/>
              </w:rPr>
            </w:pPr>
            <w:r w:rsidRPr="0004499B">
              <w:rPr>
                <w:rFonts w:cs="Times New Roman"/>
                <w:lang w:val="en-US"/>
              </w:rPr>
              <w:t>_________________________________________________________</w:t>
            </w:r>
          </w:p>
          <w:p w14:paraId="1B6251B2" w14:textId="77777777" w:rsidR="00980522" w:rsidRPr="0004499B" w:rsidRDefault="00980522" w:rsidP="00496B4D">
            <w:pPr>
              <w:pStyle w:val="BasicParagraph"/>
              <w:suppressAutoHyphens/>
              <w:spacing w:line="240" w:lineRule="auto"/>
              <w:jc w:val="both"/>
              <w:rPr>
                <w:rFonts w:cs="Times New Roman"/>
                <w:sz w:val="16"/>
                <w:lang w:val="en-US"/>
              </w:rPr>
            </w:pPr>
          </w:p>
          <w:p w14:paraId="177D76B1" w14:textId="4368288D" w:rsidR="00AD31E8" w:rsidRPr="00AD31E8" w:rsidRDefault="00AD31E8" w:rsidP="00AD31E8">
            <w:pPr>
              <w:pStyle w:val="BasicParagraph"/>
              <w:suppressAutoHyphens/>
              <w:jc w:val="both"/>
              <w:rPr>
                <w:rFonts w:cs="Times New Roman"/>
                <w:i/>
                <w:sz w:val="18"/>
                <w:szCs w:val="18"/>
                <w:lang w:val="en-AU"/>
              </w:rPr>
            </w:pPr>
            <w:r w:rsidRPr="00AD31E8">
              <w:rPr>
                <w:rFonts w:cs="Times New Roman"/>
                <w:i/>
                <w:sz w:val="18"/>
                <w:szCs w:val="18"/>
                <w:lang w:val="en-AU"/>
              </w:rPr>
              <w:t xml:space="preserve">The essence of the basic rights and obligations of physical education and sports for </w:t>
            </w:r>
            <w:proofErr w:type="gramStart"/>
            <w:r w:rsidRPr="00AD31E8">
              <w:rPr>
                <w:rFonts w:cs="Times New Roman"/>
                <w:i/>
                <w:sz w:val="18"/>
                <w:szCs w:val="18"/>
                <w:lang w:val="en-AU"/>
              </w:rPr>
              <w:t>each individual</w:t>
            </w:r>
            <w:proofErr w:type="gramEnd"/>
            <w:r w:rsidRPr="00AD31E8">
              <w:rPr>
                <w:rFonts w:cs="Times New Roman"/>
                <w:i/>
                <w:sz w:val="18"/>
                <w:szCs w:val="18"/>
                <w:lang w:val="en-AU"/>
              </w:rPr>
              <w:t xml:space="preserve"> is universally regulated through the international charter on physical education, physical activity, and sports by UNESCO. This study aims to describe the implementation of physical education with an merdeka curriculum in the city of Malang. Using a convergent parallel mixed method, researchers interpreted quantitative and qualitative data simultaneously for 45 respondents selected using quota sampling. The research findings indicate that, quantitatively, the implementation of physical education is in the “very good” category. However, in terms of equality of rights, beneficial programs, stakeholder contributions, availability of facilities and infrastructure, and international cooperation, based on qualitative statements, there is still room for improvement. The conclusions and recommendations </w:t>
            </w:r>
            <w:r w:rsidRPr="00AD31E8">
              <w:rPr>
                <w:rFonts w:cs="Times New Roman"/>
                <w:i/>
                <w:sz w:val="18"/>
                <w:szCs w:val="18"/>
                <w:lang w:val="en-AU"/>
              </w:rPr>
              <w:lastRenderedPageBreak/>
              <w:t xml:space="preserve">from this study, in summary, emphasize the implementation of inclusive physical education, curriculum design with a focus on a holistic approach, enhancing the role of stakeholders in funding sports facilities, providing adequate and standard facilities and infrastructure, and the need for international cooperation to develop excellent physical education implementation in addressing sedentary lifestyles among adolescents. </w:t>
            </w:r>
          </w:p>
          <w:p w14:paraId="25FB8762" w14:textId="433F12FB" w:rsidR="00980522" w:rsidRPr="0011319F" w:rsidRDefault="00980522" w:rsidP="0011319F">
            <w:pPr>
              <w:pStyle w:val="BasicParagraph"/>
              <w:suppressAutoHyphens/>
              <w:jc w:val="both"/>
              <w:rPr>
                <w:rFonts w:cs="Times New Roman"/>
                <w:i/>
                <w:sz w:val="18"/>
                <w:szCs w:val="18"/>
                <w:lang w:val="en-US"/>
              </w:rPr>
            </w:pPr>
          </w:p>
          <w:p w14:paraId="3D8582D5" w14:textId="13B2D174" w:rsidR="00980522" w:rsidRPr="00A90BD0" w:rsidRDefault="00980522" w:rsidP="00496B4D">
            <w:pPr>
              <w:pStyle w:val="BasicParagraph"/>
              <w:suppressAutoHyphens/>
              <w:spacing w:line="240" w:lineRule="auto"/>
              <w:jc w:val="right"/>
              <w:rPr>
                <w:rFonts w:cs="Times New Roman"/>
              </w:rPr>
            </w:pPr>
            <w:r w:rsidRPr="00A90BD0">
              <w:rPr>
                <w:rFonts w:cs="Times New Roman"/>
              </w:rPr>
              <w:t>© 20</w:t>
            </w:r>
            <w:r w:rsidR="001E7072">
              <w:rPr>
                <w:rFonts w:cs="Times New Roman"/>
              </w:rPr>
              <w:t>25</w:t>
            </w:r>
            <w:r w:rsidRPr="00A90BD0">
              <w:rPr>
                <w:rFonts w:cs="Times New Roman"/>
              </w:rPr>
              <w:t xml:space="preserve"> Universitas Negeri </w:t>
            </w:r>
            <w:r>
              <w:rPr>
                <w:rFonts w:cs="Times New Roman"/>
              </w:rPr>
              <w:t>Malang</w:t>
            </w:r>
          </w:p>
          <w:p w14:paraId="45F9031D" w14:textId="77777777" w:rsidR="00980522" w:rsidRPr="00A90BD0" w:rsidRDefault="00980522" w:rsidP="00496B4D">
            <w:pPr>
              <w:pStyle w:val="BasicParagraph"/>
              <w:suppressAutoHyphens/>
              <w:spacing w:line="240" w:lineRule="auto"/>
              <w:jc w:val="right"/>
              <w:rPr>
                <w:rFonts w:cs="Times New Roman"/>
              </w:rPr>
            </w:pPr>
          </w:p>
        </w:tc>
      </w:tr>
      <w:tr w:rsidR="00980522" w:rsidRPr="00A90BD0" w14:paraId="47EF5C5F" w14:textId="77777777" w:rsidTr="00496B4D">
        <w:tc>
          <w:tcPr>
            <w:tcW w:w="5462" w:type="dxa"/>
            <w:gridSpan w:val="3"/>
            <w:tcBorders>
              <w:top w:val="single" w:sz="4" w:space="0" w:color="auto"/>
            </w:tcBorders>
          </w:tcPr>
          <w:p w14:paraId="03D6CA29" w14:textId="77777777" w:rsidR="00980522" w:rsidRPr="008D6BB9" w:rsidRDefault="00980522" w:rsidP="00496B4D">
            <w:pPr>
              <w:autoSpaceDE w:val="0"/>
              <w:autoSpaceDN w:val="0"/>
              <w:adjustRightInd w:val="0"/>
              <w:spacing w:before="0" w:beforeAutospacing="0" w:after="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lastRenderedPageBreak/>
              <w:t></w:t>
            </w:r>
            <w:r w:rsidRPr="008D6BB9">
              <w:rPr>
                <w:rFonts w:ascii="Calisto MT" w:hAnsi="Calisto MT" w:cs="Calisto MT"/>
                <w:color w:val="000000"/>
                <w:sz w:val="16"/>
                <w:szCs w:val="16"/>
                <w:lang w:val="en-GB"/>
              </w:rPr>
              <w:t xml:space="preserve"> Alamat korespondensi: </w:t>
            </w:r>
          </w:p>
          <w:p w14:paraId="62164250" w14:textId="778C37E5" w:rsidR="00980522" w:rsidRPr="004D74D2" w:rsidRDefault="00980522" w:rsidP="00496B4D">
            <w:pPr>
              <w:pStyle w:val="BasicParagraph"/>
              <w:spacing w:line="240" w:lineRule="auto"/>
              <w:rPr>
                <w:sz w:val="16"/>
                <w:szCs w:val="16"/>
                <w:lang w:val="en-US"/>
              </w:rPr>
            </w:pPr>
            <w:r w:rsidRPr="00FC0E29">
              <w:rPr>
                <w:sz w:val="16"/>
                <w:szCs w:val="16"/>
              </w:rPr>
              <w:t xml:space="preserve">E-mail: </w:t>
            </w:r>
            <w:hyperlink r:id="rId11" w:history="1">
              <w:r w:rsidR="00372592" w:rsidRPr="00372592">
                <w:rPr>
                  <w:rStyle w:val="Hyperlink"/>
                  <w:rFonts w:cs="Times New Roman"/>
                  <w:szCs w:val="24"/>
                </w:rPr>
                <w:t>lokananta.teguh.fik@um.ac.id</w:t>
              </w:r>
            </w:hyperlink>
          </w:p>
          <w:p w14:paraId="0AFAD27B" w14:textId="77777777" w:rsidR="00980522" w:rsidRPr="00264831" w:rsidRDefault="00980522" w:rsidP="00496B4D">
            <w:pPr>
              <w:pStyle w:val="BasicParagraph"/>
              <w:spacing w:line="240" w:lineRule="auto"/>
              <w:rPr>
                <w:rFonts w:cs="Times New Roman"/>
                <w:sz w:val="16"/>
                <w:szCs w:val="16"/>
              </w:rPr>
            </w:pPr>
          </w:p>
        </w:tc>
        <w:tc>
          <w:tcPr>
            <w:tcW w:w="3043" w:type="dxa"/>
            <w:gridSpan w:val="2"/>
            <w:tcBorders>
              <w:top w:val="single" w:sz="4" w:space="0" w:color="auto"/>
            </w:tcBorders>
          </w:tcPr>
          <w:p w14:paraId="53695CE0" w14:textId="77777777" w:rsidR="00980522" w:rsidRPr="000546A6" w:rsidRDefault="00980522" w:rsidP="00496B4D">
            <w:pPr>
              <w:pStyle w:val="BasicParagraph"/>
              <w:spacing w:line="240" w:lineRule="auto"/>
              <w:jc w:val="right"/>
              <w:rPr>
                <w:color w:val="auto"/>
                <w:lang w:val="en-US"/>
              </w:rPr>
            </w:pPr>
            <w:r w:rsidRPr="000546A6">
              <w:rPr>
                <w:color w:val="auto"/>
              </w:rPr>
              <w:t>ISSN</w:t>
            </w:r>
            <w:r>
              <w:rPr>
                <w:color w:val="auto"/>
              </w:rPr>
              <w:t>:</w:t>
            </w:r>
            <w:r w:rsidRPr="000546A6">
              <w:rPr>
                <w:color w:val="auto"/>
              </w:rPr>
              <w:t xml:space="preserve"> </w:t>
            </w:r>
            <w:r w:rsidR="00243DF2">
              <w:rPr>
                <w:color w:val="auto"/>
                <w:lang w:val="id-ID"/>
              </w:rPr>
              <w:t>2614</w:t>
            </w:r>
            <w:r w:rsidR="00243DF2" w:rsidRPr="000546A6">
              <w:rPr>
                <w:color w:val="auto"/>
              </w:rPr>
              <w:t>-</w:t>
            </w:r>
            <w:r w:rsidR="00243DF2">
              <w:rPr>
                <w:color w:val="auto"/>
                <w:lang w:val="id-ID"/>
              </w:rPr>
              <w:t>8293</w:t>
            </w:r>
            <w:r w:rsidR="00243DF2" w:rsidRPr="000546A6">
              <w:rPr>
                <w:color w:val="auto"/>
              </w:rPr>
              <w:t xml:space="preserve"> </w:t>
            </w:r>
            <w:r w:rsidR="00243DF2" w:rsidRPr="000546A6">
              <w:rPr>
                <w:color w:val="auto"/>
                <w:lang w:val="en-US"/>
              </w:rPr>
              <w:t>(</w:t>
            </w:r>
            <w:r w:rsidR="00243DF2">
              <w:rPr>
                <w:color w:val="auto"/>
                <w:lang w:val="id-ID"/>
              </w:rPr>
              <w:t>Online</w:t>
            </w:r>
            <w:r w:rsidR="00243DF2" w:rsidRPr="000546A6">
              <w:rPr>
                <w:color w:val="auto"/>
                <w:lang w:val="en-US"/>
              </w:rPr>
              <w:t>)</w:t>
            </w:r>
          </w:p>
          <w:p w14:paraId="0C1CCCF4" w14:textId="77777777" w:rsidR="00980522" w:rsidRPr="00A90BD0" w:rsidRDefault="00980522" w:rsidP="00496B4D">
            <w:pPr>
              <w:pStyle w:val="BasicParagraph"/>
              <w:spacing w:line="240" w:lineRule="auto"/>
              <w:jc w:val="right"/>
              <w:rPr>
                <w:rFonts w:cs="Times New Roman"/>
                <w:bCs/>
                <w:position w:val="-18"/>
                <w:sz w:val="22"/>
                <w:szCs w:val="22"/>
              </w:rPr>
            </w:pPr>
          </w:p>
        </w:tc>
      </w:tr>
    </w:tbl>
    <w:p w14:paraId="44B77709" w14:textId="77777777" w:rsidR="00980522" w:rsidRDefault="00980522" w:rsidP="00980522">
      <w:pPr>
        <w:spacing w:before="0" w:beforeAutospacing="0" w:after="0" w:afterAutospacing="0"/>
        <w:ind w:left="0"/>
        <w:jc w:val="both"/>
        <w:rPr>
          <w:rFonts w:ascii="Calisto MT" w:hAnsi="Calisto MT" w:cs="Times New Roman"/>
        </w:rPr>
      </w:pPr>
    </w:p>
    <w:p w14:paraId="4D5E7BE5" w14:textId="77777777" w:rsidR="00980522" w:rsidRPr="00FC0E29" w:rsidRDefault="00980522" w:rsidP="00980522">
      <w:pPr>
        <w:spacing w:before="0" w:beforeAutospacing="0" w:after="0" w:afterAutospacing="0"/>
        <w:ind w:left="0"/>
        <w:jc w:val="both"/>
        <w:rPr>
          <w:rFonts w:ascii="Calisto MT" w:hAnsi="Calisto MT" w:cs="Times New Roman"/>
        </w:rPr>
        <w:sectPr w:rsidR="00980522" w:rsidRPr="00FC0E29" w:rsidSect="009734B6">
          <w:headerReference w:type="even" r:id="rId12"/>
          <w:headerReference w:type="default" r:id="rId13"/>
          <w:footerReference w:type="default" r:id="rId14"/>
          <w:headerReference w:type="first" r:id="rId15"/>
          <w:footerReference w:type="first" r:id="rId16"/>
          <w:pgSz w:w="11907" w:h="16839" w:code="9"/>
          <w:pgMar w:top="1701" w:right="1701" w:bottom="1701" w:left="1701" w:header="720" w:footer="720" w:gutter="0"/>
          <w:pgNumType w:start="1"/>
          <w:cols w:space="720"/>
          <w:titlePg/>
          <w:docGrid w:linePitch="360"/>
        </w:sectPr>
      </w:pPr>
    </w:p>
    <w:p w14:paraId="41C3C8BE" w14:textId="1E1CEDB9" w:rsidR="00980522" w:rsidRPr="00AF0C75" w:rsidRDefault="00980522" w:rsidP="00785142">
      <w:pPr>
        <w:pStyle w:val="Heading2"/>
        <w:spacing w:line="240" w:lineRule="auto"/>
        <w:rPr>
          <w:lang w:val="id-ID"/>
        </w:rPr>
      </w:pPr>
      <w:r w:rsidRPr="00EF7C62">
        <w:t>Pendahuluan</w:t>
      </w:r>
    </w:p>
    <w:p w14:paraId="35B6F60C" w14:textId="530A32A2" w:rsidR="0064316E" w:rsidRPr="0064316E" w:rsidRDefault="0064316E" w:rsidP="0064316E">
      <w:pPr>
        <w:pStyle w:val="Heading4"/>
        <w:contextualSpacing/>
        <w:rPr>
          <w:iCs/>
          <w:lang w:val="sv-SE"/>
        </w:rPr>
      </w:pPr>
      <w:r w:rsidRPr="0064316E">
        <w:rPr>
          <w:iCs/>
        </w:rPr>
        <w:t xml:space="preserve">Esensi terkait hak dasar pendidikan jasmani dan olahraga bagi tiap individu diatur secara universal melalui piagam internasional pendidikan jasmani, aktivitas fisik dan olahraga oleh UNESCO. Secara histori piagam internasional pendidikan jasmani, aktivitas fisik, dan olahraga tercetus pertamakali pada konferensi umum UNESCO ke-20 pada tahun november 1978, yang kemudian diperbarui melalui konferensi umum UNESCO ke-38 pada november 2015. Esensi awal piagam UNESCO tahun 1978 memuat urgensi mengenai praktik pendidikan jasmani dan olahraga adalah hak fundamental bagi semua individu, kemudian pada tahun 2015 ditambahkan prinsip-prinsip seperti kesetaraan gender, non-diskriminasi, manfaat aktivitas fisik, keberlanjutan olahraga, inklusi pada penyandang disabilitas, dan perlindungan pada anak-anak. </w:t>
      </w:r>
      <w:r w:rsidRPr="0064316E">
        <w:rPr>
          <w:iCs/>
          <w:lang w:val="sv-SE"/>
        </w:rPr>
        <w:t>Secara khusus, p</w:t>
      </w:r>
      <w:r w:rsidRPr="0064316E">
        <w:rPr>
          <w:iCs/>
        </w:rPr>
        <w:t>iagam internasional 2015 memandu kebijakan keolahragaan dengan pendekatan berbasis hak dan dukungan keputusan dalam bidang olahraga. Selain itu, esensi penting piagam ini mendorong dan</w:t>
      </w:r>
      <w:r w:rsidRPr="0064316E">
        <w:rPr>
          <w:iCs/>
          <w:lang w:val="sv-SE"/>
        </w:rPr>
        <w:t xml:space="preserve"> mempromosikan akses olahraga yang inklusif tanpa diskriminasi, serta menetapkan standar etika dan kualitas bagi semua pelaku olahraga.</w:t>
      </w:r>
    </w:p>
    <w:p w14:paraId="470A088B" w14:textId="74D1720F" w:rsidR="0064316E" w:rsidRPr="0064316E" w:rsidRDefault="0064316E" w:rsidP="0064316E">
      <w:pPr>
        <w:pStyle w:val="Heading4"/>
        <w:contextualSpacing/>
        <w:rPr>
          <w:iCs/>
          <w:lang w:val="sv-SE"/>
        </w:rPr>
      </w:pPr>
      <w:r w:rsidRPr="0064316E">
        <w:rPr>
          <w:iCs/>
          <w:lang w:val="sv-SE"/>
        </w:rPr>
        <w:t xml:space="preserve">Sejak munculnya kesadaran akan hak individu terkait praktik pendidikan jasmani dan olahraga, yang kemudian di integrasikan dengan prinsip-prinsip evolusi di bidang olahraga sejak tahun 1978 oleh UNESCO. Negara indonesia saat ini telah berumur 79 tahun, terhitung sejak pasca kemerdekaan pada tahun 1945. Saat ini, pada sektor pendidikan tidak jarang dijumpai ketersediaan  fasilitas  pembelajaran yang kurang memadai </w:t>
      </w:r>
      <w:r w:rsidRPr="0064316E">
        <w:rPr>
          <w:iCs/>
          <w:lang w:val="sv-SE"/>
        </w:rPr>
        <w:fldChar w:fldCharType="begin" w:fldLock="1"/>
      </w:r>
      <w:r>
        <w:rPr>
          <w:iCs/>
          <w:lang w:val="sv-SE"/>
        </w:rPr>
        <w:instrText>ADDIN CSL_CITATION {"citationItems":[{"id":"ITEM-1","itemData":{"author":[{"dropping-particle":"","family":"Ridlo","given":"Mukhamad Faiz","non-dropping-particle":"","parse-names":false,"suffix":""},{"dropping-particle":"","family":"Hanani","given":"Endang Sri","non-dropping-particle":"","parse-names":false,"suffix":""},{"dropping-particle":"","family":"Yuwono","given":"Cahyo","non-dropping-particle":"","parse-names":false,"suffix":""},{"dropping-particle":"","family":"Gansar","given":"Dwi","non-dropping-particle":"","parse-names":false,"suffix":""}],"container-title":"Indonesian Journal for Physical Education and Sport","id":"ITEM-1","issue":"2","issued":{"date-parts":[["2024"]]},"page":"457-468","title":"Survei Ketersediaan Fasilitas Pembelajaran Pendidikan Jasmani Olahraga dan Kesehatan Madrasah Ibtidaiyah di Kecamatan Kandangan Kabupaten Temanggung Tahun 2023","type":"article-journal","volume":"5"},"uris":["http://www.mendeley.com/documents/?uuid=2803975d-bcc2-4b2c-94f9-443f09a9be7f"]}],"mendeley":{"formattedCitation":"(Ridlo et al., 2024)","plainTextFormattedCitation":"(Ridlo et al., 2024)","previouslyFormattedCitation":"(Ridlo, Hanani, Yuwono, &amp; Gansar, 2024)"},"properties":{"noteIndex":0},"schema":"https://github.com/citation-style-language/schema/raw/master/csl-citation.json"}</w:instrText>
      </w:r>
      <w:r w:rsidRPr="0064316E">
        <w:rPr>
          <w:iCs/>
          <w:lang w:val="sv-SE"/>
        </w:rPr>
        <w:fldChar w:fldCharType="separate"/>
      </w:r>
      <w:r w:rsidRPr="0064316E">
        <w:rPr>
          <w:iCs/>
          <w:noProof/>
          <w:lang w:val="sv-SE"/>
        </w:rPr>
        <w:t>(Ridlo et al., 2024)</w:t>
      </w:r>
      <w:r w:rsidRPr="0064316E">
        <w:rPr>
          <w:iCs/>
          <w:lang w:val="sv-SE"/>
        </w:rPr>
        <w:fldChar w:fldCharType="end"/>
      </w:r>
      <w:r w:rsidRPr="0064316E">
        <w:rPr>
          <w:iCs/>
          <w:lang w:val="sv-SE"/>
        </w:rPr>
        <w:t xml:space="preserve">. Di sisi lain, terdapat pula hambatan kemampuan guru dalam mengakomodasi kebutuhan belajar peserta didik </w:t>
      </w:r>
      <w:r w:rsidRPr="0064316E">
        <w:rPr>
          <w:iCs/>
          <w:lang w:val="sv-SE"/>
        </w:rPr>
        <w:fldChar w:fldCharType="begin" w:fldLock="1"/>
      </w:r>
      <w:r w:rsidRPr="0064316E">
        <w:rPr>
          <w:iCs/>
          <w:lang w:val="sv-SE"/>
        </w:rPr>
        <w:instrText>ADDIN CSL_CITATION {"citationItems":[{"id":"ITEM-1","itemData":{"DOI":"10.26418/jilo.v3i2.42965","ISSN":"2621-4717","abstract":"Permasalahan dalam penelitian ini rendahnya prestasi belajar pendidikan jasmani. Belum diketahui penyebab rendahnya prestasi belajar pendidikan jasmani. Tujuan penelitian ini adalah untuk mengetahui faktor-faktor yang menyebabkan rendahnya prestasi belajar pendidikan jasmani pada siswa kelas IV SDN 8. Populasi penelitian ini adalah seluruh siswa kelas IV SDN 8 Mamboro yang ada di Kecamatan Palu Utara. Sampel adalah 40 siswa kelas IV SDN 8 Kecamatan Palu Utara. Instrumen Penelitian menggunakan lembar observasi, angket, wawancara serta disertai dengan dokumentasi. Hasil penelitian menunjukkan bahwa beberapa faktor penyebab rendahnya prestasi belajar pendidikan jasmani Utara antara lain berasal dari 1) faktor internal anak didik, 2) Kurangnya fasilitas belajar pendidikan jasmani dan adanya faktor lingkungan sekolah, 3) faktor dari lingkungan sekolah, 4) faktor dari guru, 5) faktor dari lingkungan keluarga.","author":[{"dropping-particle":"","family":"Nur'aenon","given":"I Iskandar","non-dropping-particle":"","parse-names":false,"suffix":""},{"dropping-particle":"","family":"Rejeki","given":"Hendriana Sri","non-dropping-particle":"","parse-names":false,"suffix":""}],"container-title":"Jurnal Ilmu Keolahragaan","id":"ITEM-1","issue":"2","issued":{"date-parts":[["2020"]]},"page":"149","title":"Faktor Faktor Yang Mempengaruhi Rendahnya Prestasi Belajar Pendidikan Jasmani","type":"article-journal","volume":"3"},"uris":["http://www.mendeley.com/documents/?uuid=9944da2c-91c2-45c7-bdb9-2277536593aa"]}],"mendeley":{"formattedCitation":"(Nur’aenon &amp; Rejeki, 2020)","plainTextFormattedCitation":"(Nur’aenon &amp; Rejeki, 2020)","previouslyFormattedCitation":"(Nur’aenon &amp; Rejeki, 2020)"},"properties":{"noteIndex":0},"schema":"https://github.com/citation-style-language/schema/raw/master/csl-citation.json"}</w:instrText>
      </w:r>
      <w:r w:rsidRPr="0064316E">
        <w:rPr>
          <w:iCs/>
          <w:lang w:val="sv-SE"/>
        </w:rPr>
        <w:fldChar w:fldCharType="separate"/>
      </w:r>
      <w:r w:rsidRPr="0064316E">
        <w:rPr>
          <w:iCs/>
          <w:noProof/>
          <w:lang w:val="sv-SE"/>
        </w:rPr>
        <w:t>(Nur’aenon &amp; Rejeki, 2020)</w:t>
      </w:r>
      <w:r w:rsidRPr="0064316E">
        <w:rPr>
          <w:iCs/>
          <w:lang w:val="sv-SE"/>
        </w:rPr>
        <w:fldChar w:fldCharType="end"/>
      </w:r>
      <w:r w:rsidRPr="0064316E">
        <w:rPr>
          <w:iCs/>
          <w:lang w:val="sv-SE"/>
        </w:rPr>
        <w:t xml:space="preserve">.  Hambatan penyediaan fasilitas pendukung pembelajaran dan kompetensi pengajar, dipengaruhi oleh gaya kepemimpinan dan pelaksanaan supervisi kepala sekolah </w:t>
      </w:r>
      <w:r w:rsidRPr="0064316E">
        <w:rPr>
          <w:iCs/>
          <w:lang w:val="sv-SE"/>
        </w:rPr>
        <w:fldChar w:fldCharType="begin" w:fldLock="1"/>
      </w:r>
      <w:r>
        <w:rPr>
          <w:iCs/>
          <w:lang w:val="sv-SE"/>
        </w:rPr>
        <w:instrText>ADDIN CSL_CITATION {"citationItems":[{"id":"ITEM-1","itemData":{"abstract":"Blended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Zuldesiah","given":"","non-dropping-particle":"","parse-names":false,"suffix":""},{"dropping-particle":"","family":"Gistituati","given":"Nurhizrah","non-dropping-particle":"","parse-names":false,"suffix":""},{"dropping-particle":"","family":"Sabandi","given":"Ahmad","non-dropping-particle":"","parse-names":false,"suffix":""}],"container-title":"Jurnal Basicedu","id":"ITEM-1","issue":"2","issued":{"date-parts":[["2021"]]},"page":"663 - 671","title":"Kontribusi Gaya Kepemimpinan dan Pelaksanaan Supervisi Kepala Sekolah terhadap Kinerja Guru-guru Sekolah Dasar","type":"article-journal","volume":"5"},"uris":["http://www.mendeley.com/documents/?uuid=2d98e8ea-d4d4-420c-b0e5-39983e4983cc"]}],"mendeley":{"formattedCitation":"(Zuldesiah et al., 2021)","plainTextFormattedCitation":"(Zuldesiah et al., 2021)","previouslyFormattedCitation":"(Zuldesiah, Gistituati, &amp; Sabandi, 2021)"},"properties":{"noteIndex":0},"schema":"https://github.com/citation-style-language/schema/raw/master/csl-citation.json"}</w:instrText>
      </w:r>
      <w:r w:rsidRPr="0064316E">
        <w:rPr>
          <w:iCs/>
          <w:lang w:val="sv-SE"/>
        </w:rPr>
        <w:fldChar w:fldCharType="separate"/>
      </w:r>
      <w:r w:rsidRPr="0064316E">
        <w:rPr>
          <w:iCs/>
          <w:noProof/>
          <w:lang w:val="sv-SE"/>
        </w:rPr>
        <w:t>(Zuldesiah et al., 2021)</w:t>
      </w:r>
      <w:r w:rsidRPr="0064316E">
        <w:rPr>
          <w:iCs/>
          <w:lang w:val="sv-SE"/>
        </w:rPr>
        <w:fldChar w:fldCharType="end"/>
      </w:r>
      <w:r w:rsidRPr="0064316E">
        <w:rPr>
          <w:iCs/>
          <w:lang w:val="sv-SE"/>
        </w:rPr>
        <w:t xml:space="preserve">. Hambatan-hambatan ini terjadi akibat perbedaan gaya kepemimpinan kepala sekolah. Bahwasannya gaya kepemimpinan kepala sekolah secara srimultan memiliki hubungan dengan motivasi kerja guru dan  prestasi belajar siswa </w:t>
      </w:r>
      <w:r w:rsidRPr="0064316E">
        <w:rPr>
          <w:iCs/>
          <w:lang w:val="sv-SE"/>
        </w:rPr>
        <w:fldChar w:fldCharType="begin" w:fldLock="1"/>
      </w:r>
      <w:r>
        <w:rPr>
          <w:iCs/>
          <w:lang w:val="sv-SE"/>
        </w:rPr>
        <w:instrText>ADDIN CSL_CITATION {"citationItems":[{"id":"ITEM-1","itemData":{"ISSN":"1979-4703","abstract":"&lt;p&gt;The quality of education in Islamic educational institutions today is encouraged unmediately by the various strategies and approaches. It is underpinned based on a strong desire to build a more dignified education. A strong desire is unfortunately not based on good management so that some Islamic educational institutions should decline. Eventually some Islamic educational institutions today are often considered as an institution that has not been able to manage and produce out put that satisfy customers. The focus of this research is: (1) How is the formulation strategy Islamic educational institutions in improving the quality of education in MA NU Gondang Sragen? (2) How is the implementation strategy of Islamic educational institutions in improving the quality of education in MA NU Gondang Sragen? (3) How is the evaluation strategy of Islamic educational institutions in improving the quality of education in MA NU Gondang Sragen?. In this study, researchers used a qualitative approach with case study design. The data collection conducted by interview, observation and documentation. Data were analyzed by using data reduction techniques, followed by a presentation of data, and drawing conclusions. Results of this research are: (1) Formulation of strategies in MA NU Gondang Sragen done by first formulating the vision and mission of taking into account the internal and external environment, followed by setting goals and targets and continued by the determining strategies. (2) Implementation of the strategy at MA NU Gondang Sragen done by outlining strategies have been formulated in the form of activities. Technical implementation is submitted to the coordinator of activities in coordination with the principal. System monitoring is done by applying an intensive communication and routine control to the coordinator of activities. (3) Evaluation strategies in MA NU Gondang Sragen done through formal and informal meetings. Formal meetings are routinely performed both at the internal level and overall field. By this meeting, then formulated corrective measures forward.&lt;/p&gt;","author":[{"dropping-particle":"","family":"Astuti","given":"","non-dropping-particle":"","parse-names":false,"suffix":""},{"dropping-particle":"","family":"Wildan","given":"","non-dropping-particle":"","parse-names":false,"suffix":""},{"dropping-particle":"","family":"Bahtiar","given":"","non-dropping-particle":"","parse-names":false,"suffix":""}],"container-title":"Jurnal Pascasarjana UIN Mataram","id":"ITEM-1","issue":"2","issued":{"date-parts":[["2021"]]},"page":"181-198","title":"Pengaruh Gaya Kepemimpinan Demokratis Kepala Sekolah dan Motivasi Kerja Guru terhadap Prestasi Belajar Peserta Didik SMP","type":"article-journal","volume":"10"},"uris":["http://www.mendeley.com/documents/?uuid=98a4183e-add3-4ad4-b3de-4caffce3b59b"]}],"mendeley":{"formattedCitation":"(Astuti et al., 2021)","plainTextFormattedCitation":"(Astuti et al., 2021)","previouslyFormattedCitation":"(Astuti, Wildan, &amp; Bahtiar, 2021)"},"properties":{"noteIndex":0},"schema":"https://github.com/citation-style-language/schema/raw/master/csl-citation.json"}</w:instrText>
      </w:r>
      <w:r w:rsidRPr="0064316E">
        <w:rPr>
          <w:iCs/>
          <w:lang w:val="sv-SE"/>
        </w:rPr>
        <w:fldChar w:fldCharType="separate"/>
      </w:r>
      <w:r w:rsidRPr="0064316E">
        <w:rPr>
          <w:iCs/>
          <w:noProof/>
          <w:lang w:val="sv-SE"/>
        </w:rPr>
        <w:t>(Astuti et al., 2021)</w:t>
      </w:r>
      <w:r w:rsidRPr="0064316E">
        <w:rPr>
          <w:iCs/>
          <w:lang w:val="sv-SE"/>
        </w:rPr>
        <w:fldChar w:fldCharType="end"/>
      </w:r>
      <w:r w:rsidRPr="0064316E">
        <w:rPr>
          <w:iCs/>
          <w:lang w:val="sv-SE"/>
        </w:rPr>
        <w:t xml:space="preserve">. Sehingga dari hambatan belajar yang telah disebutkan antara fasilitas, guru dan stakeholder memiliki hubungan satu sama lain yang tidak dapat dipisahkan. Oleh karena itu, menjadi utama untuk mengkaji secara empiris mengenai keterlaksanaan pembelajaran di Kota Malang. </w:t>
      </w:r>
    </w:p>
    <w:p w14:paraId="66F6A2B2" w14:textId="77777777" w:rsidR="0064316E" w:rsidRPr="0064316E" w:rsidRDefault="0064316E" w:rsidP="0064316E">
      <w:pPr>
        <w:pStyle w:val="Heading4"/>
        <w:contextualSpacing/>
        <w:rPr>
          <w:iCs/>
          <w:lang w:val="sv-SE"/>
        </w:rPr>
      </w:pPr>
      <w:r w:rsidRPr="0064316E">
        <w:rPr>
          <w:iCs/>
          <w:lang w:val="sv-SE"/>
        </w:rPr>
        <w:t xml:space="preserve">Pada sektor kesehatan, selama dua dekade terakhir berdasarkan </w:t>
      </w:r>
      <w:r w:rsidRPr="0064316E">
        <w:rPr>
          <w:i/>
          <w:iCs/>
          <w:lang w:val="sk-SK"/>
        </w:rPr>
        <w:t>Business as Usual</w:t>
      </w:r>
      <w:r w:rsidRPr="0064316E">
        <w:rPr>
          <w:iCs/>
          <w:lang w:val="sk-SK"/>
        </w:rPr>
        <w:t xml:space="preserve"> (BAU)</w:t>
      </w:r>
      <w:r w:rsidRPr="0064316E">
        <w:rPr>
          <w:iCs/>
          <w:lang w:val="sv-SE"/>
        </w:rPr>
        <w:t xml:space="preserve">, terkait kehidupan masyarakat yang sehat dan sejahtera pada penduduk dewasa usia &gt;18 tahun berdasarkan data Riskesdas untuk overweight dengan BMI ≥25  sebesar 28,7% dan untuk BMI ≥27 ada pada 15,4% di tahun 2013, sedangkan dengan rentang usia yang sama pada tahun 2016 berdasarkan data Sirkesnas untuk overweight dengan BMI ≥25 sebesar 33,5% dan untuk BMI ≥27 sebesar 20,7% </w:t>
      </w:r>
      <w:r w:rsidRPr="0064316E">
        <w:rPr>
          <w:iCs/>
          <w:lang w:val="sv-SE"/>
        </w:rPr>
        <w:fldChar w:fldCharType="begin" w:fldLock="1"/>
      </w:r>
      <w:r w:rsidRPr="0064316E">
        <w:rPr>
          <w:iCs/>
          <w:lang w:val="sv-SE"/>
        </w:rPr>
        <w:instrText>ADDIN CSL_CITATION {"citationItems":[{"id":"ITEM-1","itemData":{"author":[{"dropping-particle":"","family":"Kemenkes","given":"","non-dropping-particle":"","parse-names":false,"suffix":""}],"id":"ITEM-1","issued":{"date-parts":[["2021"]]},"number-of-pages":"1-8","publisher":"Kementerian Kesehatan Republik Indonesia","publisher-place":"Jakarta","title":"Epidemi Obesitas","type":"book"},"uris":["http://www.mendeley.com/documents/?uuid=e88f33aa-3149-4ad8-b5f2-45c857313427"]}],"mendeley":{"formattedCitation":"(Kemenkes, 2021)","plainTextFormattedCitation":"(Kemenkes, 2021)","previouslyFormattedCitation":"(Kemenkes, 2021)"},"properties":{"noteIndex":0},"schema":"https://github.com/citation-style-language/schema/raw/master/csl-citation.json"}</w:instrText>
      </w:r>
      <w:r w:rsidRPr="0064316E">
        <w:rPr>
          <w:iCs/>
          <w:lang w:val="sv-SE"/>
        </w:rPr>
        <w:fldChar w:fldCharType="separate"/>
      </w:r>
      <w:r w:rsidRPr="0064316E">
        <w:rPr>
          <w:iCs/>
          <w:noProof/>
          <w:lang w:val="sv-SE"/>
        </w:rPr>
        <w:t>(Kemenkes, 2021)</w:t>
      </w:r>
      <w:r w:rsidRPr="0064316E">
        <w:rPr>
          <w:iCs/>
          <w:lang w:val="sv-SE"/>
        </w:rPr>
        <w:fldChar w:fldCharType="end"/>
      </w:r>
      <w:r w:rsidRPr="0064316E">
        <w:rPr>
          <w:iCs/>
          <w:lang w:val="sv-SE"/>
        </w:rPr>
        <w:t xml:space="preserve">. Kemudian berdasarkan peta jalan pembangunan berkelanjutan prevalensi obesitas pada masyarakat dewasa usia &gt;18 tahun telah meningkat dua kali lipat dalam kurun waktu 2007-2018, dari 10,5% pada tahun 2007 ke 21,8% di tahun 2018, dan akan terus meningkat pada tahun 2030 hingga  47,5% </w:t>
      </w:r>
      <w:r w:rsidRPr="0064316E">
        <w:rPr>
          <w:iCs/>
          <w:lang w:val="sv-SE"/>
        </w:rPr>
        <w:fldChar w:fldCharType="begin" w:fldLock="1"/>
      </w:r>
      <w:r w:rsidRPr="0064316E">
        <w:rPr>
          <w:iCs/>
          <w:lang w:val="sv-SE"/>
        </w:rPr>
        <w:instrText>ADDIN CSL_CITATION {"citationItems":[{"id":"ITEM-1","itemData":{"author":[{"dropping-particle":"","family":"Bappenas","given":"","non-dropping-particle":"","parse-names":false,"suffix":""}],"id":"ITEM-1","issued":{"date-parts":[["2021"]]},"number-of-pages":"35","publisher":"Kementerian Perencanaan Pembangunan Nasional","publisher-place":"Jakarta","title":"Peta Jalan Sustainable Development Goals (SDGs) di Indonesia","type":"book"},"uris":["http://www.mendeley.com/documents/?uuid=ff3a4ed7-1e15-4e87-b00e-774f0691dd87"]}],"mendeley":{"formattedCitation":"(Bappenas, 2021)","plainTextFormattedCitation":"(Bappenas, 2021)","previouslyFormattedCitation":"(Bappenas, 2021)"},"properties":{"noteIndex":0},"schema":"https://github.com/citation-style-language/schema/raw/master/csl-citation.json"}</w:instrText>
      </w:r>
      <w:r w:rsidRPr="0064316E">
        <w:rPr>
          <w:iCs/>
          <w:lang w:val="sv-SE"/>
        </w:rPr>
        <w:fldChar w:fldCharType="separate"/>
      </w:r>
      <w:r w:rsidRPr="0064316E">
        <w:rPr>
          <w:iCs/>
          <w:noProof/>
          <w:lang w:val="sv-SE"/>
        </w:rPr>
        <w:t>(Bappenas, 2021)</w:t>
      </w:r>
      <w:r w:rsidRPr="0064316E">
        <w:rPr>
          <w:iCs/>
          <w:lang w:val="sv-SE"/>
        </w:rPr>
        <w:fldChar w:fldCharType="end"/>
      </w:r>
      <w:r w:rsidRPr="0064316E">
        <w:rPr>
          <w:iCs/>
          <w:lang w:val="sv-SE"/>
        </w:rPr>
        <w:t xml:space="preserve">. Peningkatan persentase prevalensi obesitas pada masyarakat, menandakan </w:t>
      </w:r>
      <w:r w:rsidRPr="0064316E">
        <w:rPr>
          <w:iCs/>
          <w:lang w:val="sv-SE"/>
        </w:rPr>
        <w:lastRenderedPageBreak/>
        <w:t xml:space="preserve">bahwa pola hidup aktif serta urgensi terkait aktivitas fisik masih menjadi hal yang kurang diperhatikan oleh masyarakat. </w:t>
      </w:r>
    </w:p>
    <w:p w14:paraId="1ECC7D94" w14:textId="40BF8919" w:rsidR="0064316E" w:rsidRPr="0064316E" w:rsidRDefault="0064316E" w:rsidP="0064316E">
      <w:pPr>
        <w:pStyle w:val="Heading4"/>
        <w:contextualSpacing/>
        <w:rPr>
          <w:iCs/>
          <w:lang w:val="sk-SK"/>
        </w:rPr>
      </w:pPr>
      <w:r w:rsidRPr="0064316E">
        <w:rPr>
          <w:iCs/>
          <w:lang w:val="sv-SE"/>
        </w:rPr>
        <w:t xml:space="preserve">Adapun dampak pengiring terkait tingginya prevalensi obesitas jika terus meningkat hingga tahun 2030 diantaranya ada dampak metabolic dan dampak penyakit komorbid. Bahwasannya obesitas tidak hanya berkaitan dengan hiperinsulinemia, hiperglikemia, hipertensi, dan penyakit kardiovaskular </w:t>
      </w:r>
      <w:r w:rsidRPr="0064316E">
        <w:rPr>
          <w:iCs/>
          <w:lang w:val="sv-SE"/>
        </w:rPr>
        <w:fldChar w:fldCharType="begin" w:fldLock="1"/>
      </w:r>
      <w:r w:rsidRPr="0064316E">
        <w:rPr>
          <w:iCs/>
          <w:lang w:val="sv-SE"/>
        </w:rPr>
        <w:instrText>ADDIN CSL_CITATION {"citationItems":[{"id":"ITEM-1","itemData":{"DOI":"10.3390/ijms22157797","ISSN":"14220067","PMID":"34360563","abstract":"For many years, the dogma has been that insulin resistance precedes the development of hyperinsulinemia. However, recent data suggest a reverse order and place hyperinsulinemia mech-anistically upstream of insulin resistance. Genetic background, consumption of the “modern” Western diet and over</w:instrText>
      </w:r>
      <w:r w:rsidRPr="0064316E">
        <w:rPr>
          <w:rFonts w:ascii="Times New Roman" w:hAnsi="Times New Roman" w:cs="Times New Roman"/>
          <w:iCs/>
          <w:lang w:val="sv-SE"/>
        </w:rPr>
        <w:instrText>‐</w:instrText>
      </w:r>
      <w:r w:rsidRPr="0064316E">
        <w:rPr>
          <w:iCs/>
          <w:lang w:val="sv-SE"/>
        </w:rPr>
        <w:instrText>nutrition may increase insulin secretion, decrease insulin pulses and/or reduce hepatic insulin clearance, thereby causing hyperinsulinemia. Hyperinsulinemia disturbs the balance of the insulin–GH–IGF axis and shifts the insulin: GH ratio towards insulin and away from GH. This insulin–GH shift promotes energy storage and lipid synthesis and hinders lipid breakdown, resulting in obesity due to higher fat accumulation and lower energy expenditure. Hyperinsuline-mia is an important etiological factor in the development of metabolic syndrome, type 2 diabetes, cardiovascular disease, cancer and premature mortality. It has been further hypothesized that nu-tritionally driven insulin exposure controls the rate of mammalian aging. Interventions that normal-ize/reduce plasma insulin concentrations might play a key role in the prevention and treatment of age</w:instrText>
      </w:r>
      <w:r w:rsidRPr="0064316E">
        <w:rPr>
          <w:rFonts w:ascii="Times New Roman" w:hAnsi="Times New Roman" w:cs="Times New Roman"/>
          <w:iCs/>
          <w:lang w:val="sv-SE"/>
        </w:rPr>
        <w:instrText>‐</w:instrText>
      </w:r>
      <w:r w:rsidRPr="0064316E">
        <w:rPr>
          <w:iCs/>
          <w:lang w:val="sv-SE"/>
        </w:rPr>
        <w:instrText>related decline, obesity, type 2 diabetes, cardiovascular disease and cancer. Caloric restriction, increasing hepatic insulin clearance and maximizing insulin sensitivity are at present the three main strategies available for managing hyperinsulinemia. This may slow down age</w:instrText>
      </w:r>
      <w:r w:rsidRPr="0064316E">
        <w:rPr>
          <w:rFonts w:ascii="Times New Roman" w:hAnsi="Times New Roman" w:cs="Times New Roman"/>
          <w:iCs/>
          <w:lang w:val="sv-SE"/>
        </w:rPr>
        <w:instrText>‐</w:instrText>
      </w:r>
      <w:r w:rsidRPr="0064316E">
        <w:rPr>
          <w:iCs/>
          <w:lang w:val="sv-SE"/>
        </w:rPr>
        <w:instrText>related physiological decline and prevent age</w:instrText>
      </w:r>
      <w:r w:rsidRPr="0064316E">
        <w:rPr>
          <w:rFonts w:ascii="Times New Roman" w:hAnsi="Times New Roman" w:cs="Times New Roman"/>
          <w:iCs/>
          <w:lang w:val="sv-SE"/>
        </w:rPr>
        <w:instrText>‐</w:instrText>
      </w:r>
      <w:r w:rsidRPr="0064316E">
        <w:rPr>
          <w:iCs/>
          <w:lang w:val="sv-SE"/>
        </w:rPr>
        <w:instrText>related diseases. Drugs that reduce insulin (hyper) secretion, normalize pulsatile insulin secretion and/or increase hepatic insulin clearance may also have the potential to prevent or delay the progression of hyperinsulinemia</w:instrText>
      </w:r>
      <w:r w:rsidRPr="0064316E">
        <w:rPr>
          <w:rFonts w:ascii="Times New Roman" w:hAnsi="Times New Roman" w:cs="Times New Roman"/>
          <w:iCs/>
          <w:lang w:val="sv-SE"/>
        </w:rPr>
        <w:instrText>‐</w:instrText>
      </w:r>
      <w:r w:rsidRPr="0064316E">
        <w:rPr>
          <w:iCs/>
          <w:lang w:val="sv-SE"/>
        </w:rPr>
        <w:instrText>mediated diseases. Future research should focus on new strategies to minimize hyperinsulinemia at an early stage, aiming at successfully pre-venting and treating hyperinsulinemia</w:instrText>
      </w:r>
      <w:r w:rsidRPr="0064316E">
        <w:rPr>
          <w:rFonts w:ascii="Times New Roman" w:hAnsi="Times New Roman" w:cs="Times New Roman"/>
          <w:iCs/>
          <w:lang w:val="sv-SE"/>
        </w:rPr>
        <w:instrText>‐</w:instrText>
      </w:r>
      <w:r w:rsidRPr="0064316E">
        <w:rPr>
          <w:iCs/>
          <w:lang w:val="sv-SE"/>
        </w:rPr>
        <w:instrText>mediated diseases.","author":[{"dropping-particle":"","family":"Janssen","given":"Joseph A.M.J.L.","non-dropping-particle":"","parse-names":false,"suffix":""}],"container-title":"International Journal of Molecular Sciences","id":"ITEM-1","issue":"15","issued":{"date-parts":[["2021"]]},"title":"Hyperinsulinemia and its pivotal role in aging, obesity, type 2 diabetes, cardiovascular disease and cancer","type":"article-journal","volume":"22"},"uris":["http://www.mendeley.com/documents/?uuid=c1b228b7-932a-4a89-877c-f004d924dc28"]}],"mendeley":{"formattedCitation":"(Janssen, 2021)","plainTextFormattedCitation":"(Janssen, 2021)","previouslyFormattedCitation":"(Janssen, 2021)"},"properties":{"noteIndex":0},"schema":"https://github.com/citation-style-language/schema/raw/master/csl-citation.json"}</w:instrText>
      </w:r>
      <w:r w:rsidRPr="0064316E">
        <w:rPr>
          <w:iCs/>
          <w:lang w:val="sv-SE"/>
        </w:rPr>
        <w:fldChar w:fldCharType="separate"/>
      </w:r>
      <w:r w:rsidRPr="0064316E">
        <w:rPr>
          <w:iCs/>
          <w:noProof/>
          <w:lang w:val="sv-SE"/>
        </w:rPr>
        <w:t>(Janssen, 2021)</w:t>
      </w:r>
      <w:r w:rsidRPr="0064316E">
        <w:rPr>
          <w:iCs/>
          <w:lang w:val="sv-SE"/>
        </w:rPr>
        <w:fldChar w:fldCharType="end"/>
      </w:r>
      <w:r w:rsidRPr="0064316E">
        <w:rPr>
          <w:iCs/>
          <w:lang w:val="sv-SE"/>
        </w:rPr>
        <w:t xml:space="preserve">. Akan tetapi pada riset terkini, obesitas juga mempengaruhi mekanisme molekuler yang berdampak pada prevalensi terjadinya kanker </w:t>
      </w:r>
      <w:r w:rsidRPr="0064316E">
        <w:rPr>
          <w:iCs/>
          <w:lang w:val="sv-SE"/>
        </w:rPr>
        <w:fldChar w:fldCharType="begin" w:fldLock="1"/>
      </w:r>
      <w:r w:rsidRPr="0064316E">
        <w:rPr>
          <w:iCs/>
          <w:lang w:val="sv-SE"/>
        </w:rPr>
        <w:instrText>ADDIN CSL_CITATION {"citationItems":[{"id":"ITEM-1","itemData":{"DOI":"10.36713/epra12421","ISSN":"24553662","abstract":"Over the last few decades, the incidence of obesity is increasing which is now recognized as public health issue worldwide. Obesity has been associated with an elevated risk of several types of metabolic syndrome and malignancies. This article reviews the latest evidence on the association between higher Body Mass Index (BMI) and cancer, discovering the essential biological mechanism and pathways such as the interplay of adipokines, cytokines, and growth factors. Furthermore, it provides intuition into the effects of obesity on proliferation and metastasis. In last, it highlights the need for a comprehensive approach to tackle the obesity pandemic including changes in lifestyle and regular cancer to enhance the quality of life.","author":[{"dropping-particle":"","family":"Tzenios","given":"Nikolaos","non-dropping-particle":"","parse-names":false,"suffix":""}],"container-title":"EPRA International Journal of Multidisciplinary Research (IJMR)","id":"ITEM-1","issue":"2","issued":{"date-parts":[["2023","2","14"]]},"page":"97-100","title":"Obesity as a Risk Factor For Different Types of Cancer","type":"article-journal","volume":"8"},"uris":["http://www.mendeley.com/documents/?uuid=db6b48be-7530-433d-aa40-e6baacfbe7b1"]}],"mendeley":{"formattedCitation":"(Tzenios, 2023)","plainTextFormattedCitation":"(Tzenios, 2023)","previouslyFormattedCitation":"(Tzenios, 2023)"},"properties":{"noteIndex":0},"schema":"https://github.com/citation-style-language/schema/raw/master/csl-citation.json"}</w:instrText>
      </w:r>
      <w:r w:rsidRPr="0064316E">
        <w:rPr>
          <w:iCs/>
          <w:lang w:val="sv-SE"/>
        </w:rPr>
        <w:fldChar w:fldCharType="separate"/>
      </w:r>
      <w:r w:rsidRPr="0064316E">
        <w:rPr>
          <w:iCs/>
          <w:noProof/>
          <w:lang w:val="sv-SE"/>
        </w:rPr>
        <w:t>(Tzenios, 2023)</w:t>
      </w:r>
      <w:r w:rsidRPr="0064316E">
        <w:rPr>
          <w:iCs/>
          <w:lang w:val="sv-SE"/>
        </w:rPr>
        <w:fldChar w:fldCharType="end"/>
      </w:r>
      <w:r w:rsidRPr="0064316E">
        <w:rPr>
          <w:iCs/>
          <w:lang w:val="sv-SE"/>
        </w:rPr>
        <w:t>. Selain dampak secara kesehatan, secara frekuensi olahraga terdapat hubungan positif yang signifikan antara kebiasaan olahraga dengan IMT (</w:t>
      </w:r>
      <w:r w:rsidRPr="0064316E">
        <w:rPr>
          <w:i/>
          <w:iCs/>
          <w:lang w:val="sv-SE"/>
        </w:rPr>
        <w:t>p</w:t>
      </w:r>
      <w:r w:rsidRPr="0064316E">
        <w:rPr>
          <w:rFonts w:ascii="Times New Roman" w:hAnsi="Times New Roman" w:cs="Times New Roman"/>
          <w:iCs/>
          <w:lang w:val="sv-SE"/>
        </w:rPr>
        <w:t>₌</w:t>
      </w:r>
      <w:r w:rsidRPr="0064316E">
        <w:rPr>
          <w:iCs/>
          <w:lang w:val="sv-SE"/>
        </w:rPr>
        <w:t xml:space="preserve">0.011, </w:t>
      </w:r>
      <w:r w:rsidRPr="0064316E">
        <w:rPr>
          <w:i/>
          <w:iCs/>
          <w:lang w:val="sv-SE"/>
        </w:rPr>
        <w:t>r</w:t>
      </w:r>
      <w:r w:rsidRPr="0064316E">
        <w:rPr>
          <w:rFonts w:ascii="Times New Roman" w:hAnsi="Times New Roman" w:cs="Times New Roman"/>
          <w:iCs/>
          <w:lang w:val="sv-SE"/>
        </w:rPr>
        <w:t>₌</w:t>
      </w:r>
      <w:r w:rsidRPr="0064316E">
        <w:rPr>
          <w:iCs/>
          <w:lang w:val="sv-SE"/>
        </w:rPr>
        <w:t xml:space="preserve">0.504) </w:t>
      </w:r>
      <w:r w:rsidRPr="0064316E">
        <w:rPr>
          <w:iCs/>
          <w:lang w:val="sv-SE"/>
        </w:rPr>
        <w:fldChar w:fldCharType="begin" w:fldLock="1"/>
      </w:r>
      <w:r w:rsidRPr="0064316E">
        <w:rPr>
          <w:iCs/>
          <w:lang w:val="sv-SE"/>
        </w:rPr>
        <w:instrText>ADDIN CSL_CITATION {"citationItems":[{"id":"ITEM-1","itemData":{"abstract":"Latar belakang: Kualitas sumber daya manusia merupakan faktor utama yang diperlukan untukkeberhasilan pelaksanaan pembangunan nasional. Guru memiliki peran yang sangat penting dalampengembangan sumberdaya manusia di bidang pendidikan. Bukti empiris menunjukkan bahwakualitas sumber daya manusia dapat ditentukan oleh status gizi yang baik, dan status gizi yangbaik ditentukan oleh pengetahuan gizi, jumlah asupan pangan yang dikonsumsi dan aktivitas fisikseseorang. Tujuan: Menganalisis hubungan pengetahuan gizi, tingkat kecukupan zat gizi, danaktivitas fisik dengan status gizi guru Sekolah Menengah Pertama (SMP) Negeri 1 DramagaBogor.Metode: Desain penelitian yang digunakan adalah cross sectional dengan jumlah subjek 35 orang.Data yang dikumpulkan berupa data karakteristik individu dan keluarga, status gizi, konsumsipangan, aktivitas fisik, tingkat kebugaran, kebiasaan olahraga, pengetahuan gizi dan gambaranumum sekolah. Metode yang digunakan dalam pengambilan subjek adalah metode sampling jenuh(sensus).Hasil: Sebagian besar subjek (74,3%) adalah perempuan dengan rata-rata usia tergolong dewasatengah hingga dewasa akhir. Sebagian besar subjek (68,6%) berstatus sebagai Pegawai NegeriSipil (PNS), jam kerja rata-rata 6 hingga 8 jam. Sebagian besar subjek memiliki status gizi obesitas(51,4%). Tingkat konsumsi energi tergolong defisit sedang, protein defisit ringan, lemak lebih, dankarbohidrat cukup. Rata-rata tingkat aktivitas fisik subjek pada hari libur ringan dan hari sekolahsedang. Sebagian besar subjek memiliki tingkat kebugaran yang sangat kurang (71,4%) danpengetahuan gizi cukup (74,3%).Simpulan: Terdapat hubungan positif antara jam kerja dengan Indeks Massa Tubuh (IMT)(p=0,023, r=0,384) dan kebiasaan olahraga dengan IMT (p=0,011, r=0,504).KataKunci:Aktivitas Fisik; Guru; Tingkat Kecukupan Zat Gizi; Tingkat Kebugaran;Pengetahuan Gizi","author":[{"dropping-particle":"","family":"Rohani","given":"Desma","non-dropping-particle":"","parse-names":false,"suffix":""}],"container-title":"Student Research Journal","id":"ITEM-1","issue":"1","issued":{"date-parts":[["2023"]]},"page":"01-14","title":"Hubungan Pengetahuan Gizi , Tingkat Kecukupan Zat Gizi , Dan Aktivitas Fisik Dengan Status Gizi Pada Guru SMP Desma","type":"article-journal","volume":"1"},"uris":["http://www.mendeley.com/documents/?uuid=79749cef-5525-4f43-8424-9000118cca64"]}],"mendeley":{"formattedCitation":"(Rohani, 2023)","plainTextFormattedCitation":"(Rohani, 2023)","previouslyFormattedCitation":"(Rohani, 2023)"},"properties":{"noteIndex":0},"schema":"https://github.com/citation-style-language/schema/raw/master/csl-citation.json"}</w:instrText>
      </w:r>
      <w:r w:rsidRPr="0064316E">
        <w:rPr>
          <w:iCs/>
          <w:lang w:val="sv-SE"/>
        </w:rPr>
        <w:fldChar w:fldCharType="separate"/>
      </w:r>
      <w:r w:rsidRPr="0064316E">
        <w:rPr>
          <w:iCs/>
          <w:noProof/>
          <w:lang w:val="sv-SE"/>
        </w:rPr>
        <w:t>(Rohani, 2023)</w:t>
      </w:r>
      <w:r w:rsidRPr="0064316E">
        <w:rPr>
          <w:iCs/>
          <w:lang w:val="sv-SE"/>
        </w:rPr>
        <w:fldChar w:fldCharType="end"/>
      </w:r>
      <w:r w:rsidRPr="0064316E">
        <w:rPr>
          <w:iCs/>
          <w:lang w:val="sv-SE"/>
        </w:rPr>
        <w:t xml:space="preserve">. Fakta lain menyebutkan bahwa </w:t>
      </w:r>
      <w:r w:rsidRPr="0064316E">
        <w:rPr>
          <w:iCs/>
          <w:lang w:val="sk-SK"/>
        </w:rPr>
        <w:t>perhitungan bivariat antara aktivitas fisik dengan obesitas pada remaja menunjukan hasil (</w:t>
      </w:r>
      <w:r w:rsidRPr="0064316E">
        <w:rPr>
          <w:i/>
          <w:iCs/>
          <w:lang w:val="sk-SK"/>
        </w:rPr>
        <w:t>p</w:t>
      </w:r>
      <w:r w:rsidRPr="0064316E">
        <w:rPr>
          <w:rFonts w:ascii="Times New Roman" w:hAnsi="Times New Roman" w:cs="Times New Roman"/>
          <w:iCs/>
          <w:lang w:val="sk-SK"/>
        </w:rPr>
        <w:t>₌</w:t>
      </w:r>
      <w:r w:rsidRPr="0064316E">
        <w:rPr>
          <w:iCs/>
          <w:lang w:val="sk-SK"/>
        </w:rPr>
        <w:t xml:space="preserve">0,021) yang menunjukkan bahwa terdapat hubungan signifikan </w:t>
      </w:r>
      <w:r w:rsidRPr="0064316E">
        <w:rPr>
          <w:iCs/>
          <w:lang w:val="sk-SK"/>
        </w:rPr>
        <w:fldChar w:fldCharType="begin" w:fldLock="1"/>
      </w:r>
      <w:r>
        <w:rPr>
          <w:iCs/>
          <w:lang w:val="sk-SK"/>
        </w:rPr>
        <w:instrText>ADDIN CSL_CITATION {"citationItems":[{"id":"ITEM-1","itemData":{"author":[{"dropping-particle":"","family":"Sembiring","given":"Bela Aprilia","non-dropping-particle":"","parse-names":false,"suffix":""},{"dropping-particle":"","family":"Rosdewi","given":"Naomi Nisari","non-dropping-particle":"","parse-names":false,"suffix":""},{"dropping-particle":"","family":"Yuningrum","given":"Hesti","non-dropping-particle":"","parse-names":false,"suffix":""}],"container-title":"Jurnal Formil","id":"ITEM-1","issue":"1","issued":{"date-parts":[["2022"]]},"page":"87-95","title":"Hubungan Aktivitas Fisik dengan Kejadian Obesitas pada Remaja di SMA Swasta Cerdas Bangsa, Kecamatan Deli Tua, Kabupaten Deli Serdang, Medan Bela","type":"article-journal","volume":"7"},"uris":["http://www.mendeley.com/documents/?uuid=35ffd356-1651-4d98-89c4-a9492e0cd3c4"]}],"mendeley":{"formattedCitation":"(Sembiring et al., 2022)","plainTextFormattedCitation":"(Sembiring et al., 2022)","previouslyFormattedCitation":"(Sembiring, Rosdewi, &amp; Yuningrum, 2022)"},"properties":{"noteIndex":0},"schema":"https://github.com/citation-style-language/schema/raw/master/csl-citation.json"}</w:instrText>
      </w:r>
      <w:r w:rsidRPr="0064316E">
        <w:rPr>
          <w:iCs/>
          <w:lang w:val="sk-SK"/>
        </w:rPr>
        <w:fldChar w:fldCharType="separate"/>
      </w:r>
      <w:r w:rsidRPr="0064316E">
        <w:rPr>
          <w:iCs/>
          <w:noProof/>
          <w:lang w:val="sk-SK"/>
        </w:rPr>
        <w:t>(Sembiring et al., 2022)</w:t>
      </w:r>
      <w:r w:rsidRPr="0064316E">
        <w:rPr>
          <w:iCs/>
          <w:lang w:val="sv-SE"/>
        </w:rPr>
        <w:fldChar w:fldCharType="end"/>
      </w:r>
      <w:r w:rsidRPr="0064316E">
        <w:rPr>
          <w:iCs/>
          <w:lang w:val="sk-SK"/>
        </w:rPr>
        <w:t xml:space="preserve">. Hasil riset sebelumnya menunjukan bahwa agar dapat terhindar dari bahaya obesitas dan penyakit komorbid yang menyertainya, diperlukan frekuensi aktivitas fisik yang sedang hingga tinggi serta pengaturan asupan energi yang baik dalam hal ini adalah pola makan dan istirahat. </w:t>
      </w:r>
    </w:p>
    <w:p w14:paraId="25FA545C" w14:textId="2866B984" w:rsidR="0064316E" w:rsidRPr="0064316E" w:rsidRDefault="0064316E" w:rsidP="0064316E">
      <w:pPr>
        <w:pStyle w:val="Heading4"/>
        <w:contextualSpacing/>
        <w:rPr>
          <w:iCs/>
          <w:lang w:val="sv-SE"/>
        </w:rPr>
      </w:pPr>
      <w:r w:rsidRPr="0064316E">
        <w:rPr>
          <w:iCs/>
          <w:lang w:val="sv-SE"/>
        </w:rPr>
        <w:t xml:space="preserve">Idealnya prevalensi terjadinya obesitas dapat diturunkan melalui pengaturan keseimbangan energi, yang artinya terkait pola makan, pola istirahat dan pola aktifitas fisik harus seimbang </w:t>
      </w:r>
      <w:r w:rsidRPr="0064316E">
        <w:rPr>
          <w:iCs/>
          <w:lang w:val="sv-SE"/>
        </w:rPr>
        <w:fldChar w:fldCharType="begin" w:fldLock="1"/>
      </w:r>
      <w:r w:rsidRPr="0064316E">
        <w:rPr>
          <w:iCs/>
          <w:lang w:val="sv-SE"/>
        </w:rPr>
        <w:instrText>ADDIN CSL_CITATION {"citationItems":[{"id":"ITEM-1","itemData":{"author":[{"dropping-particle":"","family":"Kemenkes","given":"","non-dropping-particle":"","parse-names":false,"suffix":""}],"id":"ITEM-1","issued":{"date-parts":[["2021"]]},"number-of-pages":"1-8","publisher":"Kementerian Kesehatan Republik Indonesia","publisher-place":"Jakarta","title":"Epidemi Obesitas","type":"book"},"uris":["http://www.mendeley.com/documents/?uuid=e88f33aa-3149-4ad8-b5f2-45c857313427"]}],"mendeley":{"formattedCitation":"(Kemenkes, 2021)","plainTextFormattedCitation":"(Kemenkes, 2021)","previouslyFormattedCitation":"(Kemenkes, 2021)"},"properties":{"noteIndex":0},"schema":"https://github.com/citation-style-language/schema/raw/master/csl-citation.json"}</w:instrText>
      </w:r>
      <w:r w:rsidRPr="0064316E">
        <w:rPr>
          <w:iCs/>
          <w:lang w:val="sv-SE"/>
        </w:rPr>
        <w:fldChar w:fldCharType="separate"/>
      </w:r>
      <w:r w:rsidRPr="0064316E">
        <w:rPr>
          <w:iCs/>
          <w:noProof/>
          <w:lang w:val="sv-SE"/>
        </w:rPr>
        <w:t>(Kemenkes, 2021)</w:t>
      </w:r>
      <w:r w:rsidRPr="0064316E">
        <w:rPr>
          <w:iCs/>
          <w:lang w:val="sv-SE"/>
        </w:rPr>
        <w:fldChar w:fldCharType="end"/>
      </w:r>
      <w:r w:rsidRPr="0064316E">
        <w:rPr>
          <w:iCs/>
          <w:lang w:val="sv-SE"/>
        </w:rPr>
        <w:t xml:space="preserve">. Upaya untuk mempertahankan kesehatan ini secara fungsi menjadi bagian dari pendidikan jasmani </w:t>
      </w:r>
      <w:r w:rsidRPr="0064316E">
        <w:rPr>
          <w:iCs/>
          <w:lang w:val="sv-SE"/>
        </w:rPr>
        <w:fldChar w:fldCharType="begin" w:fldLock="1"/>
      </w:r>
      <w:r>
        <w:rPr>
          <w:iCs/>
          <w:lang w:val="sv-SE"/>
        </w:rPr>
        <w:instrText>ADDIN CSL_CITATION {"citationItems":[{"id":"ITEM-1","itemData":{"DOI":"10.1080/17408989.2017.1342789","ISSN":"17425786","abstract":"Background: Concerns that current forms of physical education teacher education (PETE) are not adequately providing teachers with the tools necessary for working with the realities and challenges of teaching physical education in contemporary schools has led some scholars to advocate for an approach that prioritises meaningfulness in physical education. There is, however, little empirical evidence of how future teachers might be taught to facilitate meaningful physical education experiences. Purpose: This paper describes a pedagogical approach to PETE to support pre-service teachers (PSTs) in learning how to facilitate meaningful experiences in physical education. We aim to contribute new understanding through sharing pedagogical principles that support PSTs’ ‘Learning About Meaningful Physical Education’ (LAMPE). Participants and setting: The research team consisted of three physical education teacher educators: Tim and Déirdre who implemented LAMPE pedagogies and Mary who acted as meta-critical friend (pseudonyms used for the review process). Results from the LAMPE innovation reported here are taken from implementation across four semesters of two academic years 2013–2015. Déirdre implemented LAMPE in an introduction to teaching physical education course for pre-service generalist elementary teachers. Tim implemented the approach in an undergraduate developmental games course for future physical education teachers. A total of 106 PSTs participated in the research. Data collection and analysis: Data included teacher educator reflections and non-participant observer data from 33 individual lessons, over 7 hours of transcribed teacher educator Skype conversations, 8 ‘turning point’ documents, 15 sets of PST work samples, and transcripts of individual (n = 10) and 9 focus group interviews (n = 18 participants) with PSTs. Data were analysed inductively. Triangulation of multiple data sources and an expert member check supported trustworthiness of the LAMPE approach and data analysis. Findings: We share five pedagogical principles that reflect how PSTs were supported to learn how to facilitate meaningful physical education experiences. Pedagogies included planning for, experiencing, teaching, analysing, and reflecting on meaningful participation. Implementing pedagogies aligned with these five pedagogical principles helped participants learn why meaningful participation should be prioritised as well as how to facilitate meaningful physical education experie…","author":[{"dropping-particle":"","family":"Chróinín","given":"Déirdre Ní","non-dropping-particle":"","parse-names":false,"suffix":""},{"dropping-particle":"","family":"Fletcher","given":"Tim","non-dropping-particle":"","parse-names":false,"suffix":""},{"dropping-particle":"","family":"O’Sullivan","given":"Mary","non-dropping-particle":"","parse-names":false,"suffix":""}],"container-title":"Physical Education and Sport Pedagogy","id":"ITEM-1","issue":"2","issued":{"date-parts":[["2018"]]},"page":"117-133","title":"Pedagogical principles of learning to teach meaningful physical education","type":"article-journal","volume":"23"},"uris":["http://www.mendeley.com/documents/?uuid=b79bb1d6-4420-4a1e-9649-e87b4dea3c2c"]}],"mendeley":{"formattedCitation":"(Chróinín et al., 2018)","plainTextFormattedCitation":"(Chróinín et al., 2018)","previouslyFormattedCitation":"(Chróinín, Fletcher, &amp; O’Sullivan, 2018)"},"properties":{"noteIndex":0},"schema":"https://github.com/citation-style-language/schema/raw/master/csl-citation.json"}</w:instrText>
      </w:r>
      <w:r w:rsidRPr="0064316E">
        <w:rPr>
          <w:iCs/>
          <w:lang w:val="sv-SE"/>
        </w:rPr>
        <w:fldChar w:fldCharType="separate"/>
      </w:r>
      <w:r w:rsidRPr="0064316E">
        <w:rPr>
          <w:iCs/>
          <w:noProof/>
          <w:lang w:val="sv-SE"/>
        </w:rPr>
        <w:t>(Chróinín et al., 2018)</w:t>
      </w:r>
      <w:r w:rsidRPr="0064316E">
        <w:rPr>
          <w:iCs/>
          <w:lang w:val="sv-SE"/>
        </w:rPr>
        <w:fldChar w:fldCharType="end"/>
      </w:r>
      <w:r w:rsidRPr="0064316E">
        <w:rPr>
          <w:iCs/>
          <w:lang w:val="sv-SE"/>
        </w:rPr>
        <w:t xml:space="preserve">. Bahwasannya tujuan pendidikan jasmani adalah pendidikan anak secara keseluruhan, adalah untuk mengembangkan individu anak secara maksimal yang meliputi perubahan fisik, mental, moral, sosial, estetika, emosional, intelektual, dan kesehatan </w:t>
      </w:r>
      <w:r w:rsidRPr="0064316E">
        <w:rPr>
          <w:iCs/>
          <w:lang w:val="sv-SE"/>
        </w:rPr>
        <w:fldChar w:fldCharType="begin" w:fldLock="1"/>
      </w:r>
      <w:r w:rsidRPr="0064316E">
        <w:rPr>
          <w:iCs/>
          <w:lang w:val="sv-SE"/>
        </w:rPr>
        <w:instrText>ADDIN CSL_CITATION {"citationItems":[{"id":"ITEM-1","itemData":{"ISBN":"0-8016-0868-6","author":[{"dropping-particle":"","family":"Bucher","given":"Charles A","non-dropping-particle":"","parse-names":false,"suffix":""}],"edition":"9","id":"ITEM-1","issued":{"date-parts":[["1983"]]},"publisher":"C.V. Mosby Company","publisher-place":"Missouri","title":"Foundation of Physical Education &amp; Sport","type":"book"},"uris":["http://www.mendeley.com/documents/?uuid=f8fdca94-15fa-421a-99d9-7b44e82e6b62"]}],"mendeley":{"formattedCitation":"(Bucher, 1983)","plainTextFormattedCitation":"(Bucher, 1983)","previouslyFormattedCitation":"(Bucher, 1983)"},"properties":{"noteIndex":0},"schema":"https://github.com/citation-style-language/schema/raw/master/csl-citation.json"}</w:instrText>
      </w:r>
      <w:r w:rsidRPr="0064316E">
        <w:rPr>
          <w:iCs/>
          <w:lang w:val="sv-SE"/>
        </w:rPr>
        <w:fldChar w:fldCharType="separate"/>
      </w:r>
      <w:r w:rsidRPr="0064316E">
        <w:rPr>
          <w:iCs/>
          <w:noProof/>
          <w:lang w:val="sv-SE"/>
        </w:rPr>
        <w:t>(Bucher, 1983)</w:t>
      </w:r>
      <w:r w:rsidRPr="0064316E">
        <w:rPr>
          <w:iCs/>
          <w:lang w:val="sv-SE"/>
        </w:rPr>
        <w:fldChar w:fldCharType="end"/>
      </w:r>
      <w:r w:rsidRPr="0064316E">
        <w:rPr>
          <w:iCs/>
          <w:lang w:val="sv-SE"/>
        </w:rPr>
        <w:t xml:space="preserve">. Tujuan ini pada masa modern dilakukan melalui pendekatan baru yang lekat dengan istilah “literasi fisik”, ”pendidikan jasmani konseptual” dan “pendidikan kebugaran” yang secara fungsi memberikan peserta didik dengan pengetahuan tentang konsep, prinsip, dan metode, yang penting untuk mengelola aktivitas fisik secara efektif </w:t>
      </w:r>
      <w:r w:rsidRPr="0064316E">
        <w:rPr>
          <w:iCs/>
          <w:lang w:val="sv-SE"/>
        </w:rPr>
        <w:fldChar w:fldCharType="begin" w:fldLock="1"/>
      </w:r>
      <w:r>
        <w:rPr>
          <w:iCs/>
          <w:lang w:val="sv-SE"/>
        </w:rPr>
        <w:instrText>ADDIN CSL_CITATION {"citationItems":[{"id":"ITEM-1","itemData":{"DOI":"10.18662/rrem/15.4/792","ISSN":"2066-7329","abstract":"In the current period, there is a growing interest in finding solutions for the new generation to have a more physically active life. One of the main tools we can act is the physical education lesson. Purpose: This paper aimed to find out if there is a new approach to the physical education class, one with a much more pedagogical (knowledge-based) character than the traditional approach based on competition and physical performance (sport-based). Method: Based on the PRISMA statement’s guidelines, several 105 papers were selected. Results and Discussion: The most commonly used terms to describe this new approach are: \"physical literacy\", \"conceptual physical education\" and \"fitness education\". The main role of this knowledge-based approach is to complete the practical activity and not to replace it. To achieve this, the theoretical component of physical education provides the student with knowledge of concepts, principles and methods, essential for effectively managing physical activity. The last part of the paper presents the main barriers that make teachers reject this knowledge-based approach.","author":[{"dropping-particle":"","family":"Talaghir","given":"Lauren</w:instrText>
      </w:r>
      <w:r>
        <w:rPr>
          <w:rFonts w:ascii="Cambria" w:hAnsi="Cambria" w:cs="Cambria"/>
          <w:iCs/>
          <w:lang w:val="sv-SE"/>
        </w:rPr>
        <w:instrText>ț</w:instrText>
      </w:r>
      <w:r>
        <w:rPr>
          <w:iCs/>
          <w:lang w:val="sv-SE"/>
        </w:rPr>
        <w:instrText>iu-Gabriel","non-dropping-particle":"","parse-names":false,"suffix":""},{"dropping-particle":"","family":"Olaru","given":"Bogdan Sorin","non-dropping-particle":"","parse-names":false,"suffix":""},{"dropping-particle":"","family":"Ciorb</w:instrText>
      </w:r>
      <w:r>
        <w:rPr>
          <w:rFonts w:ascii="Cambria" w:hAnsi="Cambria" w:cs="Cambria"/>
          <w:iCs/>
          <w:lang w:val="sv-SE"/>
        </w:rPr>
        <w:instrText>ă</w:instrText>
      </w:r>
      <w:r>
        <w:rPr>
          <w:iCs/>
          <w:lang w:val="sv-SE"/>
        </w:rPr>
        <w:instrText>","given":"Constantin","non-dropping-particle":"","parse-names":false,"suffix":""},{"dropping-particle":"","family":"Rus","given":"Cristian Mihail","non-dropping-particle":"","parse-names":false,"suffix":""},{"dropping-particle":"","family":"Iconomescu","given":"Teodora Mihaela","non-dropping-particle":"","parse-names":false,"suffix":""}],"container-title":"Revista Romaneasca pentru Educatie Multidimensionala","id":"ITEM-1","issue":"4","issued":{"date-parts":[["2023"]]},"page":"252-278","title":"A Knowledge-Based Approach to Physical Education: A Systematic Review","type":"article-journal","volume":"15"},"uris":["http://www.mendeley.com/documents/?uuid=8a0b8965-3cfa-4ab3-9fc2-e2a3eaf240cd"]}],"mendeley":{"formattedCitation":"(Talaghir et al., 2023)","manualFormatting":"(Talaghir et al., 2023)","plainTextFormattedCitation":"(Talaghir et al., 2023)","previouslyFormattedCitation":"(Talaghir, Olaru, Ciorb</w:instrText>
      </w:r>
      <w:r>
        <w:rPr>
          <w:rFonts w:ascii="Cambria" w:hAnsi="Cambria" w:cs="Cambria"/>
          <w:iCs/>
          <w:lang w:val="sv-SE"/>
        </w:rPr>
        <w:instrText>ă</w:instrText>
      </w:r>
      <w:r>
        <w:rPr>
          <w:iCs/>
          <w:lang w:val="sv-SE"/>
        </w:rPr>
        <w:instrText>, Rus, &amp; Iconomescu, 2023)"},"properties":{"noteIndex":0},"schema":"https://github.com/citation-style-language/schema/raw/master/csl-citation.json"}</w:instrText>
      </w:r>
      <w:r w:rsidRPr="0064316E">
        <w:rPr>
          <w:iCs/>
          <w:lang w:val="sv-SE"/>
        </w:rPr>
        <w:fldChar w:fldCharType="separate"/>
      </w:r>
      <w:r w:rsidRPr="0064316E">
        <w:rPr>
          <w:iCs/>
          <w:noProof/>
          <w:lang w:val="sv-SE"/>
        </w:rPr>
        <w:t>(Talaghir et al., 2023)</w:t>
      </w:r>
      <w:r w:rsidRPr="0064316E">
        <w:rPr>
          <w:iCs/>
          <w:lang w:val="sv-SE"/>
        </w:rPr>
        <w:fldChar w:fldCharType="end"/>
      </w:r>
      <w:r w:rsidRPr="0064316E">
        <w:rPr>
          <w:iCs/>
          <w:lang w:val="sv-SE"/>
        </w:rPr>
        <w:t xml:space="preserve">. Sehingga berdasarkan tujuan pendidikan jasmani, menjadi salah satu strategi dan peran penting pendidikan jasmani adalah untuk menanamkan budaya terkait pola hidup sehat dan hidup aktif pada peserta didik </w:t>
      </w:r>
      <w:r w:rsidRPr="0064316E">
        <w:rPr>
          <w:iCs/>
          <w:lang w:val="sv-SE"/>
        </w:rPr>
        <w:fldChar w:fldCharType="begin" w:fldLock="1"/>
      </w:r>
      <w:r w:rsidRPr="0064316E">
        <w:rPr>
          <w:iCs/>
          <w:lang w:val="sv-SE"/>
        </w:rPr>
        <w:instrText>ADDIN CSL_CITATION {"citationItems":[{"id":"ITEM-1","itemData":{"DOI":"10.1186/s12966-022-01278-0","ISSN":"14795868","PMID":"35346232","abstract":"Background: Understanding which strategies have been recommended for the promotion of active and healthy lifestyles through physical education (PE) classes can guide PE policies and practice. Therefore, we summarized worldwide recommendations regarding strategies for PE classes that have aimed to promote active and healthy lifestyles among school-aged children and adolescents. Methods: The Preferred Reporting Items for Systematic Reviews and Meta-Analyses extension for Scoping Reviews (PRISMA-ScR) guidelines were utilized. A literature search was carried out in June 2020 in eight peer-reviewed literature databases, in addition to searches in institutional and personal libraries. The eligibility criteria included any online document that included recommendations targeting any dimension of PE classes (e.g., policy and environment, curriculum, appropriate instruction, student assessment, and strategies that interact with PE) published since 2000. Results: In total, 2,408 potentially eligible documents were screened. Of these, 63 were included in the final analysis. The recommended strategies were as follows: six referred to policy and environment (valuing PE, higher frequency and duration of classes, inclusive PE classes, mandatory daily classes, evaluation of PE classes, and qualified teachers), five to curriculum (structure, type of content, cross-cutting themes, and components that improve PE classes), four to appropriate instruction (promotion of physical activities, inclusion of social issues, employment of the use of innovative technologies, and organization of the teaching–learning process), and three to student assessment (understanding human movement concepts, evaluation of contents, and assessment methods to develop an active and healthy lifestyle). Conclusion: Twenty-one strategies recommended for PE classes linked to five dimensions aimed at different target populations were identified. Over half were linked to the dimensions of policy and environment and appropriate instruction. PE is recommended to be mandatory and valued at all educational levels, with weekly frequency that contributes to an active and healthy lifestyle. This review shows that guaranteeing different experiences beyond sports, improving social inclusion, using innovative technologies, and providing adequate materials and spaces to be important challenges and ways to guide policies, programs, and new research in this field of knowledge. Open Science Framework Registration: htt…","author":[{"dropping-particle":"","family":"Bandeira","given":"Alexsandra da Silva","non-dropping-particle":"","parse-names":false,"suffix":""},{"dropping-particle":"","family":"Ravagnani","given":"Fabricio Cesar de Paula","non-dropping-particle":"","parse-names":false,"suffix":""},{"dropping-particle":"","family":"Barbosa Filho","given":"Valter Cordeiro","non-dropping-particle":"","parse-names":false,"suffix":""},{"dropping-particle":"","family":"Oliveira","given":"Victor José Machado","non-dropping-particle":"de","parse-names":false,"suffix":""},{"dropping-particle":"","family":"Camargo","given":"Edina Maria","non-dropping-particle":"de","parse-names":false,"suffix":""},{"dropping-particle":"","family":"Tenório","given":"Maria Cecília Marinho","non-dropping-particle":"","parse-names":false,"suffix":""},{"dropping-particle":"","family":"Sandreschi","given":"Paula Fabricio","non-dropping-particle":"","parse-names":false,"suffix":""},{"dropping-particle":"","family":"Santos","given":"Priscila Cristina","non-dropping-particle":"dos","parse-names":false,"suffix":""},{"dropping-particle":"","family":"Ramires","given":"Virgílio Viana","non-dropping-particle":"","parse-names":false,"suffix":""},{"dropping-particle":"","family":"Hallal","given":"Pedro Curi","non-dropping-particle":"","parse-names":false,"suffix":""},{"dropping-particle":"","family":"Silva","given":"Kelly Samara","non-dropping-particle":"","parse-names":false,"suffix":""}],"container-title":"International Journal of Behavioral Nutrition and Physical Activity","id":"ITEM-1","issue":"1","issued":{"date-parts":[["2022"]]},"publisher":"BioMed Central","title":"Mapping recommended strategies to promote active and healthy lifestyles through physical education classes: a scoping review","type":"article-journal","volume":"19"},"uris":["http://www.mendeley.com/documents/?uuid=3ab1d5f1-9f30-473a-9964-86239a1fa886"]}],"mendeley":{"formattedCitation":"(Bandeira et al., 2022)","plainTextFormattedCitation":"(Bandeira et al., 2022)","previouslyFormattedCitation":"(Bandeira et al., 2022)"},"properties":{"noteIndex":0},"schema":"https://github.com/citation-style-language/schema/raw/master/csl-citation.json"}</w:instrText>
      </w:r>
      <w:r w:rsidRPr="0064316E">
        <w:rPr>
          <w:iCs/>
          <w:lang w:val="sv-SE"/>
        </w:rPr>
        <w:fldChar w:fldCharType="separate"/>
      </w:r>
      <w:r w:rsidRPr="0064316E">
        <w:rPr>
          <w:iCs/>
          <w:noProof/>
          <w:lang w:val="sv-SE"/>
        </w:rPr>
        <w:t>(Bandeira et al., 2022)</w:t>
      </w:r>
      <w:r w:rsidRPr="0064316E">
        <w:rPr>
          <w:iCs/>
          <w:lang w:val="sv-SE"/>
        </w:rPr>
        <w:fldChar w:fldCharType="end"/>
      </w:r>
      <w:r w:rsidRPr="0064316E">
        <w:rPr>
          <w:iCs/>
          <w:lang w:val="sv-SE"/>
        </w:rPr>
        <w:t xml:space="preserve">. </w:t>
      </w:r>
    </w:p>
    <w:p w14:paraId="0F830CBD" w14:textId="77777777" w:rsidR="0064316E" w:rsidRPr="0064316E" w:rsidRDefault="0064316E" w:rsidP="0064316E">
      <w:pPr>
        <w:pStyle w:val="Heading4"/>
        <w:contextualSpacing/>
        <w:rPr>
          <w:iCs/>
          <w:lang w:val="sv-SE"/>
        </w:rPr>
      </w:pPr>
      <w:r w:rsidRPr="0064316E">
        <w:rPr>
          <w:iCs/>
          <w:lang w:val="sv-SE"/>
        </w:rPr>
        <w:t>Namun berdasarkan fakta berdasarkan tingginya prevalensi obesitas pada masyarakat dewasa usia &gt;18 tahun telah meningkat dua kali lipat dalam kurun waktu 2007-2018, dari 10,5% pada tahun 2007 menjadi 21,8% di tahun 2018, dan akan terus meningkat hingga 2030 menunjukkan bahwa penguatan pola hidup sehat dan aktivitas fisik yang memadai melalui pentingnya pendidikan jasmani di Indonesia masih belum tercapai dengan maksimal. Kondisi ini merupakan dampak tidak langsung atas kurangnya perhatian akan standarisasi sarana dan prasarana di sekolah dan berbagai hambatan kompetensi guru.  Sehingga berdasarkan data-data dan fakta yang telah dipaparkan pada paragraf sebelumnya. Melalui piagam UNESCO penelitian ini bertujuan untuk mengeksplorasi strategi dan inovasi yang dapat digunakan oleh guru PJOK dalam mempertimbangkan pandangan dan pedoman yang diberikan oleh UNESCO untuk mengentaskan</w:t>
      </w:r>
      <w:r w:rsidRPr="0064316E">
        <w:rPr>
          <w:iCs/>
        </w:rPr>
        <w:t xml:space="preserve"> </w:t>
      </w:r>
      <w:r w:rsidRPr="0064316E">
        <w:rPr>
          <w:iCs/>
          <w:lang w:val="sv-SE"/>
        </w:rPr>
        <w:t xml:space="preserve">tantangan pembelajaran pendidikan jasmani. </w:t>
      </w:r>
    </w:p>
    <w:p w14:paraId="53F3E34B" w14:textId="77777777" w:rsidR="00980522" w:rsidRPr="00FA35D6" w:rsidRDefault="00980522" w:rsidP="00977AB4">
      <w:pPr>
        <w:pStyle w:val="Heading4"/>
        <w:spacing w:line="240" w:lineRule="auto"/>
        <w:ind w:firstLine="0"/>
        <w:contextualSpacing/>
        <w:rPr>
          <w:b/>
          <w:lang w:val="sv-SE"/>
        </w:rPr>
      </w:pPr>
    </w:p>
    <w:p w14:paraId="5F680FF8" w14:textId="40F8C007" w:rsidR="00980522" w:rsidRPr="003043A0" w:rsidRDefault="00980522" w:rsidP="003043A0">
      <w:pPr>
        <w:pStyle w:val="Heading4"/>
        <w:spacing w:line="240" w:lineRule="auto"/>
        <w:ind w:firstLine="0"/>
        <w:contextualSpacing/>
        <w:rPr>
          <w:b/>
          <w:lang w:val="sv-SE"/>
        </w:rPr>
      </w:pPr>
      <w:r w:rsidRPr="00481AD4">
        <w:rPr>
          <w:b/>
          <w:lang w:val="sv-SE"/>
        </w:rPr>
        <w:t>METODE</w:t>
      </w:r>
    </w:p>
    <w:p w14:paraId="53801490" w14:textId="2CF54900" w:rsidR="0064316E" w:rsidRPr="0064316E" w:rsidRDefault="0064316E" w:rsidP="0064316E">
      <w:pPr>
        <w:pStyle w:val="Heading2"/>
        <w:ind w:firstLine="567"/>
        <w:rPr>
          <w:b w:val="0"/>
          <w:bCs w:val="0"/>
          <w:lang w:val="sk-SK"/>
        </w:rPr>
      </w:pPr>
      <w:r>
        <w:rPr>
          <w:b w:val="0"/>
          <w:bCs w:val="0"/>
          <w:caps w:val="0"/>
          <w:lang w:val="sk-SK"/>
        </w:rPr>
        <w:t>P</w:t>
      </w:r>
      <w:r w:rsidRPr="0064316E">
        <w:rPr>
          <w:b w:val="0"/>
          <w:bCs w:val="0"/>
          <w:caps w:val="0"/>
          <w:lang w:val="sk-SK"/>
        </w:rPr>
        <w:t xml:space="preserve">enelitian ini menggunakan metode campuran pararel konvergen dengan mengiterpretasikan data kuantitatif dan kualitatif. pengambilan data melibatkan sejumlah 45 guru pendidikan jasmani yang terbagi menjadi guru pendidikan jasmani pada jenjang sekolah dasar, sekolah menengah pertama, dan sekolah menengah atas. teknik pengambilan sampel yang digunakan adalah kuota sampling dengan masing-masing jenjang sekolah dasar, sekolah menengah pertama, dan sekolah menengah atas sebanyak 15 guru pendidikan jasmani. sedangkan untuk instrumen yang digunakan diadaptasi dari 12 aspek pada piagam </w:t>
      </w:r>
      <w:r w:rsidRPr="0064316E">
        <w:rPr>
          <w:b w:val="0"/>
          <w:bCs w:val="0"/>
          <w:iCs/>
          <w:caps w:val="0"/>
          <w:lang w:val="sk-SK"/>
        </w:rPr>
        <w:t>unesco</w:t>
      </w:r>
      <w:r w:rsidRPr="0064316E">
        <w:rPr>
          <w:b w:val="0"/>
          <w:bCs w:val="0"/>
          <w:caps w:val="0"/>
          <w:lang w:val="sk-SK"/>
        </w:rPr>
        <w:t xml:space="preserve"> dan dilengkapi dengan wawancara secara terstruktur. dengan analisis data kuantitatif secara persentase, sedangkan data kualitatif melalui triangulasi sumber.</w:t>
      </w:r>
    </w:p>
    <w:p w14:paraId="2281D6AF" w14:textId="30B5AB7C" w:rsidR="003043A0" w:rsidRPr="003D41B4" w:rsidRDefault="003043A0" w:rsidP="0064316E">
      <w:pPr>
        <w:pStyle w:val="Heading2"/>
        <w:spacing w:line="240" w:lineRule="auto"/>
        <w:rPr>
          <w:b w:val="0"/>
          <w:caps w:val="0"/>
          <w:lang w:val="sk-SK"/>
        </w:rPr>
      </w:pPr>
    </w:p>
    <w:p w14:paraId="4312C98D" w14:textId="2B419B52" w:rsidR="00980522" w:rsidRPr="0074428C" w:rsidRDefault="00980522" w:rsidP="0074428C">
      <w:pPr>
        <w:pStyle w:val="Heading4"/>
        <w:ind w:firstLine="0"/>
        <w:rPr>
          <w:b/>
        </w:rPr>
      </w:pPr>
      <w:r w:rsidRPr="006F059B">
        <w:rPr>
          <w:b/>
          <w:lang w:val="sk-SK"/>
        </w:rPr>
        <w:t>H</w:t>
      </w:r>
      <w:r w:rsidRPr="008B4A77">
        <w:rPr>
          <w:b/>
        </w:rPr>
        <w:t>ASIL</w:t>
      </w:r>
      <w:r w:rsidRPr="001D4241">
        <w:t xml:space="preserve"> </w:t>
      </w:r>
    </w:p>
    <w:p w14:paraId="35ABDFE7" w14:textId="7FCD4C5C" w:rsidR="00CC3768" w:rsidRDefault="00CC3768" w:rsidP="00B61B53">
      <w:pPr>
        <w:spacing w:before="0" w:beforeAutospacing="0" w:after="0" w:afterAutospacing="0"/>
        <w:ind w:left="0" w:firstLine="567"/>
        <w:jc w:val="both"/>
        <w:rPr>
          <w:rFonts w:ascii="Calisto MT" w:hAnsi="Calisto MT"/>
          <w:bCs/>
          <w:sz w:val="20"/>
          <w:szCs w:val="20"/>
          <w:lang w:val="id-ID"/>
        </w:rPr>
      </w:pPr>
      <w:r w:rsidRPr="00CC3768">
        <w:rPr>
          <w:rFonts w:ascii="Calisto MT" w:hAnsi="Calisto MT"/>
          <w:bCs/>
          <w:sz w:val="20"/>
          <w:szCs w:val="20"/>
          <w:lang w:val="id-ID"/>
        </w:rPr>
        <w:t xml:space="preserve">Berdasarkan perolehan hasil persentase data tiap aspek pada piagam UNESCO yang diantaranya terdiri dari aspek kesetaraan hak, kebermanfaatan program, kontribusi stakeholder, budaya hidup aktif,  keberlanjutan program,  kajian teoritik, profesionalitas guru, sarana &amp; prasarana, manajemen resiko, keamanan program,  nilai-nilai perdamaian, dan kerjasama internasional. </w:t>
      </w:r>
      <w:r w:rsidRPr="000E0D0C">
        <w:rPr>
          <w:rFonts w:ascii="Calisto MT" w:hAnsi="Calisto MT"/>
          <w:bCs/>
          <w:sz w:val="20"/>
          <w:szCs w:val="20"/>
          <w:lang w:val="id-ID"/>
        </w:rPr>
        <w:t xml:space="preserve">Adapun terkait rincian hasil data kuantitatif berupa perolehan persentase ditampilkan pada </w:t>
      </w:r>
      <w:r w:rsidRPr="000E0D0C">
        <w:rPr>
          <w:rFonts w:ascii="Calisto MT" w:hAnsi="Calisto MT"/>
          <w:sz w:val="20"/>
          <w:szCs w:val="20"/>
          <w:lang w:val="id-ID"/>
        </w:rPr>
        <w:t xml:space="preserve">tabel 2. </w:t>
      </w:r>
      <w:r w:rsidRPr="000E0D0C">
        <w:rPr>
          <w:rFonts w:ascii="Calisto MT" w:hAnsi="Calisto MT"/>
          <w:bCs/>
          <w:sz w:val="20"/>
          <w:szCs w:val="20"/>
          <w:lang w:val="id-ID"/>
        </w:rPr>
        <w:t>Persentase kesesuaian piagam UNESCO di bawah ini :</w:t>
      </w:r>
    </w:p>
    <w:p w14:paraId="2ABC7E45" w14:textId="77E9E708" w:rsidR="00CC3768" w:rsidRPr="00CC3768" w:rsidRDefault="00CC3768" w:rsidP="00CC3768">
      <w:pPr>
        <w:pStyle w:val="Heading4"/>
        <w:spacing w:line="240" w:lineRule="auto"/>
        <w:ind w:firstLine="0"/>
        <w:rPr>
          <w:b/>
          <w:lang w:val="en-US"/>
        </w:rPr>
      </w:pPr>
      <w:r w:rsidRPr="009B46D0">
        <w:rPr>
          <w:b/>
        </w:rPr>
        <w:t xml:space="preserve">Tabel </w:t>
      </w:r>
      <w:r w:rsidR="00B61B53">
        <w:rPr>
          <w:b/>
        </w:rPr>
        <w:t>1</w:t>
      </w:r>
      <w:r w:rsidRPr="009B46D0">
        <w:rPr>
          <w:b/>
        </w:rPr>
        <w:t xml:space="preserve">. </w:t>
      </w:r>
      <w:r>
        <w:rPr>
          <w:b/>
          <w:lang w:val="en-US"/>
        </w:rPr>
        <w:t xml:space="preserve">Persentase kesesuaian piagam UNESCO </w:t>
      </w:r>
    </w:p>
    <w:tbl>
      <w:tblPr>
        <w:tblW w:w="8611" w:type="dxa"/>
        <w:jc w:val="center"/>
        <w:tblBorders>
          <w:top w:val="single" w:sz="4" w:space="0" w:color="000000"/>
          <w:bottom w:val="single" w:sz="4" w:space="0" w:color="000000"/>
        </w:tblBorders>
        <w:tblLayout w:type="fixed"/>
        <w:tblLook w:val="0400" w:firstRow="0" w:lastRow="0" w:firstColumn="0" w:lastColumn="0" w:noHBand="0" w:noVBand="1"/>
      </w:tblPr>
      <w:tblGrid>
        <w:gridCol w:w="4400"/>
        <w:gridCol w:w="4211"/>
      </w:tblGrid>
      <w:tr w:rsidR="0064316E" w14:paraId="58512126" w14:textId="77777777" w:rsidTr="0064316E">
        <w:trPr>
          <w:trHeight w:val="20"/>
          <w:jc w:val="center"/>
        </w:trPr>
        <w:tc>
          <w:tcPr>
            <w:tcW w:w="4400" w:type="dxa"/>
            <w:tcBorders>
              <w:top w:val="single" w:sz="4" w:space="0" w:color="000000"/>
              <w:bottom w:val="single" w:sz="4" w:space="0" w:color="000000"/>
            </w:tcBorders>
            <w:shd w:val="clear" w:color="auto" w:fill="auto"/>
            <w:vAlign w:val="bottom"/>
          </w:tcPr>
          <w:p w14:paraId="689F8568" w14:textId="77777777" w:rsidR="0064316E" w:rsidRDefault="0064316E" w:rsidP="00122782">
            <w:pPr>
              <w:spacing w:before="0"/>
              <w:rPr>
                <w:b/>
                <w:color w:val="000000"/>
                <w:sz w:val="20"/>
                <w:szCs w:val="20"/>
              </w:rPr>
            </w:pPr>
            <w:r>
              <w:rPr>
                <w:b/>
                <w:color w:val="000000"/>
                <w:sz w:val="20"/>
                <w:szCs w:val="20"/>
              </w:rPr>
              <w:t>Aspek</w:t>
            </w:r>
          </w:p>
        </w:tc>
        <w:tc>
          <w:tcPr>
            <w:tcW w:w="4211" w:type="dxa"/>
            <w:tcBorders>
              <w:top w:val="single" w:sz="4" w:space="0" w:color="000000"/>
              <w:bottom w:val="single" w:sz="4" w:space="0" w:color="000000"/>
            </w:tcBorders>
            <w:shd w:val="clear" w:color="auto" w:fill="auto"/>
            <w:vAlign w:val="bottom"/>
          </w:tcPr>
          <w:p w14:paraId="4ACDE82F" w14:textId="77777777" w:rsidR="0064316E" w:rsidRDefault="0064316E" w:rsidP="00122782">
            <w:pPr>
              <w:spacing w:before="0"/>
              <w:rPr>
                <w:b/>
                <w:color w:val="000000"/>
                <w:sz w:val="20"/>
                <w:szCs w:val="20"/>
              </w:rPr>
            </w:pPr>
            <w:r>
              <w:rPr>
                <w:b/>
                <w:color w:val="000000"/>
                <w:sz w:val="20"/>
                <w:szCs w:val="20"/>
              </w:rPr>
              <w:t>Persentase</w:t>
            </w:r>
          </w:p>
        </w:tc>
      </w:tr>
      <w:tr w:rsidR="0064316E" w14:paraId="71EABC55" w14:textId="77777777" w:rsidTr="0064316E">
        <w:trPr>
          <w:trHeight w:val="20"/>
          <w:jc w:val="center"/>
        </w:trPr>
        <w:tc>
          <w:tcPr>
            <w:tcW w:w="4400" w:type="dxa"/>
            <w:tcBorders>
              <w:top w:val="single" w:sz="4" w:space="0" w:color="000000"/>
            </w:tcBorders>
            <w:shd w:val="clear" w:color="auto" w:fill="auto"/>
          </w:tcPr>
          <w:p w14:paraId="3B7192FC" w14:textId="77777777" w:rsidR="0064316E" w:rsidRDefault="0064316E" w:rsidP="00122782">
            <w:pPr>
              <w:spacing w:before="0"/>
              <w:rPr>
                <w:color w:val="000000"/>
                <w:sz w:val="20"/>
                <w:szCs w:val="20"/>
              </w:rPr>
            </w:pPr>
            <w:r w:rsidRPr="00CC3768">
              <w:rPr>
                <w:rFonts w:ascii="Calisto MT" w:hAnsi="Calisto MT"/>
                <w:sz w:val="18"/>
                <w:szCs w:val="18"/>
              </w:rPr>
              <w:t>Kesetaraan hak</w:t>
            </w:r>
          </w:p>
        </w:tc>
        <w:tc>
          <w:tcPr>
            <w:tcW w:w="4211" w:type="dxa"/>
            <w:tcBorders>
              <w:top w:val="single" w:sz="4" w:space="0" w:color="000000"/>
            </w:tcBorders>
            <w:shd w:val="clear" w:color="auto" w:fill="auto"/>
          </w:tcPr>
          <w:p w14:paraId="0F20A1C5" w14:textId="77777777" w:rsidR="0064316E" w:rsidRDefault="0064316E" w:rsidP="00122782">
            <w:pPr>
              <w:spacing w:before="0"/>
              <w:rPr>
                <w:color w:val="000000"/>
                <w:sz w:val="20"/>
                <w:szCs w:val="20"/>
              </w:rPr>
            </w:pPr>
            <w:r>
              <w:rPr>
                <w:rFonts w:ascii="Calisto MT" w:hAnsi="Calisto MT"/>
                <w:sz w:val="18"/>
                <w:szCs w:val="18"/>
              </w:rPr>
              <w:t>88,8</w:t>
            </w:r>
            <w:r w:rsidRPr="00CC3768">
              <w:rPr>
                <w:rFonts w:ascii="Calisto MT" w:hAnsi="Calisto MT"/>
                <w:sz w:val="18"/>
                <w:szCs w:val="18"/>
              </w:rPr>
              <w:t>%</w:t>
            </w:r>
          </w:p>
        </w:tc>
      </w:tr>
      <w:tr w:rsidR="0064316E" w14:paraId="121C7298" w14:textId="77777777" w:rsidTr="0064316E">
        <w:trPr>
          <w:trHeight w:val="20"/>
          <w:jc w:val="center"/>
        </w:trPr>
        <w:tc>
          <w:tcPr>
            <w:tcW w:w="4400" w:type="dxa"/>
            <w:shd w:val="clear" w:color="auto" w:fill="auto"/>
          </w:tcPr>
          <w:p w14:paraId="55480ACE" w14:textId="77777777" w:rsidR="0064316E" w:rsidRDefault="0064316E" w:rsidP="00122782">
            <w:pPr>
              <w:spacing w:before="0"/>
              <w:rPr>
                <w:color w:val="000000"/>
                <w:sz w:val="20"/>
                <w:szCs w:val="20"/>
              </w:rPr>
            </w:pPr>
            <w:proofErr w:type="spellStart"/>
            <w:r w:rsidRPr="00CC3768">
              <w:rPr>
                <w:rFonts w:ascii="Calisto MT" w:hAnsi="Calisto MT"/>
                <w:sz w:val="18"/>
                <w:szCs w:val="18"/>
              </w:rPr>
              <w:t>Kebermanfaatan</w:t>
            </w:r>
            <w:proofErr w:type="spellEnd"/>
            <w:r w:rsidRPr="00CC3768">
              <w:rPr>
                <w:rFonts w:ascii="Calisto MT" w:hAnsi="Calisto MT"/>
                <w:sz w:val="18"/>
                <w:szCs w:val="18"/>
              </w:rPr>
              <w:t xml:space="preserve"> program</w:t>
            </w:r>
          </w:p>
        </w:tc>
        <w:tc>
          <w:tcPr>
            <w:tcW w:w="4211" w:type="dxa"/>
            <w:shd w:val="clear" w:color="auto" w:fill="auto"/>
          </w:tcPr>
          <w:p w14:paraId="47D3597A" w14:textId="77777777" w:rsidR="0064316E" w:rsidRDefault="0064316E" w:rsidP="00122782">
            <w:pPr>
              <w:spacing w:before="0"/>
              <w:rPr>
                <w:color w:val="000000"/>
                <w:sz w:val="20"/>
                <w:szCs w:val="20"/>
              </w:rPr>
            </w:pPr>
            <w:r>
              <w:rPr>
                <w:rFonts w:ascii="Calisto MT" w:hAnsi="Calisto MT"/>
                <w:sz w:val="18"/>
                <w:szCs w:val="18"/>
              </w:rPr>
              <w:t>97,0</w:t>
            </w:r>
            <w:r w:rsidRPr="00CC3768">
              <w:rPr>
                <w:rFonts w:ascii="Calisto MT" w:hAnsi="Calisto MT"/>
                <w:sz w:val="18"/>
                <w:szCs w:val="18"/>
              </w:rPr>
              <w:t>%</w:t>
            </w:r>
          </w:p>
        </w:tc>
      </w:tr>
      <w:tr w:rsidR="0064316E" w14:paraId="476F7B08" w14:textId="77777777" w:rsidTr="0064316E">
        <w:trPr>
          <w:trHeight w:val="20"/>
          <w:jc w:val="center"/>
        </w:trPr>
        <w:tc>
          <w:tcPr>
            <w:tcW w:w="4400" w:type="dxa"/>
            <w:shd w:val="clear" w:color="auto" w:fill="auto"/>
          </w:tcPr>
          <w:p w14:paraId="6864D974" w14:textId="77777777" w:rsidR="0064316E" w:rsidRDefault="0064316E" w:rsidP="00122782">
            <w:pPr>
              <w:spacing w:before="0"/>
              <w:rPr>
                <w:color w:val="000000"/>
                <w:sz w:val="20"/>
                <w:szCs w:val="20"/>
              </w:rPr>
            </w:pPr>
            <w:r w:rsidRPr="00CC3768">
              <w:rPr>
                <w:rFonts w:ascii="Calisto MT" w:hAnsi="Calisto MT"/>
                <w:sz w:val="18"/>
                <w:szCs w:val="18"/>
              </w:rPr>
              <w:t>Kontribusi stakeholder</w:t>
            </w:r>
          </w:p>
        </w:tc>
        <w:tc>
          <w:tcPr>
            <w:tcW w:w="4211" w:type="dxa"/>
            <w:shd w:val="clear" w:color="auto" w:fill="auto"/>
          </w:tcPr>
          <w:p w14:paraId="7FF725BB" w14:textId="77777777" w:rsidR="0064316E" w:rsidRDefault="0064316E" w:rsidP="00122782">
            <w:pPr>
              <w:spacing w:before="0"/>
              <w:rPr>
                <w:color w:val="000000"/>
                <w:sz w:val="20"/>
                <w:szCs w:val="20"/>
              </w:rPr>
            </w:pPr>
            <w:r>
              <w:rPr>
                <w:rFonts w:ascii="Calisto MT" w:hAnsi="Calisto MT"/>
                <w:sz w:val="18"/>
                <w:szCs w:val="18"/>
              </w:rPr>
              <w:t>84,4</w:t>
            </w:r>
            <w:r w:rsidRPr="00CC3768">
              <w:rPr>
                <w:rFonts w:ascii="Calisto MT" w:hAnsi="Calisto MT"/>
                <w:sz w:val="18"/>
                <w:szCs w:val="18"/>
              </w:rPr>
              <w:t>%</w:t>
            </w:r>
          </w:p>
        </w:tc>
      </w:tr>
      <w:tr w:rsidR="0064316E" w14:paraId="400D9BB8" w14:textId="77777777" w:rsidTr="0064316E">
        <w:trPr>
          <w:trHeight w:val="20"/>
          <w:jc w:val="center"/>
        </w:trPr>
        <w:tc>
          <w:tcPr>
            <w:tcW w:w="4400" w:type="dxa"/>
            <w:shd w:val="clear" w:color="auto" w:fill="auto"/>
          </w:tcPr>
          <w:p w14:paraId="1ACFC4BD" w14:textId="77777777" w:rsidR="0064316E" w:rsidRDefault="0064316E" w:rsidP="00122782">
            <w:pPr>
              <w:spacing w:before="0"/>
              <w:rPr>
                <w:color w:val="000000"/>
                <w:sz w:val="20"/>
                <w:szCs w:val="20"/>
              </w:rPr>
            </w:pPr>
            <w:r>
              <w:rPr>
                <w:sz w:val="18"/>
                <w:szCs w:val="18"/>
              </w:rPr>
              <w:t>Fungsi inspiratif</w:t>
            </w:r>
          </w:p>
        </w:tc>
        <w:tc>
          <w:tcPr>
            <w:tcW w:w="4211" w:type="dxa"/>
            <w:shd w:val="clear" w:color="auto" w:fill="auto"/>
          </w:tcPr>
          <w:p w14:paraId="2FBB508A" w14:textId="77777777" w:rsidR="0064316E" w:rsidRDefault="0064316E" w:rsidP="00122782">
            <w:pPr>
              <w:spacing w:before="0"/>
              <w:rPr>
                <w:color w:val="000000"/>
                <w:sz w:val="20"/>
                <w:szCs w:val="20"/>
              </w:rPr>
            </w:pPr>
            <w:r>
              <w:rPr>
                <w:rFonts w:ascii="Calisto MT" w:hAnsi="Calisto MT"/>
                <w:sz w:val="18"/>
                <w:szCs w:val="18"/>
              </w:rPr>
              <w:t>100</w:t>
            </w:r>
            <w:r w:rsidRPr="00CC3768">
              <w:rPr>
                <w:rFonts w:ascii="Calisto MT" w:hAnsi="Calisto MT"/>
                <w:sz w:val="18"/>
                <w:szCs w:val="18"/>
              </w:rPr>
              <w:t>%</w:t>
            </w:r>
          </w:p>
        </w:tc>
      </w:tr>
      <w:tr w:rsidR="0064316E" w14:paraId="484E659A" w14:textId="77777777" w:rsidTr="0064316E">
        <w:trPr>
          <w:trHeight w:val="20"/>
          <w:jc w:val="center"/>
        </w:trPr>
        <w:tc>
          <w:tcPr>
            <w:tcW w:w="4400" w:type="dxa"/>
            <w:shd w:val="clear" w:color="auto" w:fill="auto"/>
          </w:tcPr>
          <w:p w14:paraId="651BB6A9" w14:textId="77777777" w:rsidR="0064316E" w:rsidRDefault="0064316E" w:rsidP="00122782">
            <w:pPr>
              <w:spacing w:before="0"/>
              <w:rPr>
                <w:color w:val="000000"/>
                <w:sz w:val="20"/>
                <w:szCs w:val="20"/>
              </w:rPr>
            </w:pPr>
            <w:r w:rsidRPr="00CC3768">
              <w:rPr>
                <w:rFonts w:ascii="Calisto MT" w:hAnsi="Calisto MT"/>
                <w:sz w:val="18"/>
                <w:szCs w:val="18"/>
              </w:rPr>
              <w:t>Keberlanjutan program</w:t>
            </w:r>
          </w:p>
        </w:tc>
        <w:tc>
          <w:tcPr>
            <w:tcW w:w="4211" w:type="dxa"/>
            <w:shd w:val="clear" w:color="auto" w:fill="auto"/>
          </w:tcPr>
          <w:p w14:paraId="733B62E8" w14:textId="77777777" w:rsidR="0064316E" w:rsidRDefault="0064316E" w:rsidP="00122782">
            <w:pPr>
              <w:spacing w:before="0"/>
              <w:rPr>
                <w:color w:val="000000"/>
                <w:sz w:val="20"/>
                <w:szCs w:val="20"/>
              </w:rPr>
            </w:pPr>
            <w:r>
              <w:rPr>
                <w:rFonts w:ascii="Calisto MT" w:hAnsi="Calisto MT"/>
                <w:sz w:val="18"/>
                <w:szCs w:val="18"/>
              </w:rPr>
              <w:t>93,3</w:t>
            </w:r>
            <w:r w:rsidRPr="00CC3768">
              <w:rPr>
                <w:rFonts w:ascii="Calisto MT" w:hAnsi="Calisto MT"/>
                <w:sz w:val="18"/>
                <w:szCs w:val="18"/>
              </w:rPr>
              <w:t>%</w:t>
            </w:r>
          </w:p>
        </w:tc>
      </w:tr>
      <w:tr w:rsidR="0064316E" w14:paraId="3F988B12" w14:textId="77777777" w:rsidTr="0064316E">
        <w:trPr>
          <w:trHeight w:val="20"/>
          <w:jc w:val="center"/>
        </w:trPr>
        <w:tc>
          <w:tcPr>
            <w:tcW w:w="4400" w:type="dxa"/>
            <w:shd w:val="clear" w:color="auto" w:fill="auto"/>
          </w:tcPr>
          <w:p w14:paraId="029CA096" w14:textId="77777777" w:rsidR="0064316E" w:rsidRDefault="0064316E" w:rsidP="00122782">
            <w:pPr>
              <w:spacing w:before="0"/>
              <w:rPr>
                <w:color w:val="000000"/>
                <w:sz w:val="20"/>
                <w:szCs w:val="20"/>
              </w:rPr>
            </w:pPr>
            <w:r w:rsidRPr="00CC3768">
              <w:rPr>
                <w:rFonts w:ascii="Calisto MT" w:hAnsi="Calisto MT"/>
                <w:sz w:val="18"/>
                <w:szCs w:val="18"/>
              </w:rPr>
              <w:t xml:space="preserve">Kajian </w:t>
            </w:r>
            <w:proofErr w:type="spellStart"/>
            <w:r w:rsidRPr="00CC3768">
              <w:rPr>
                <w:rFonts w:ascii="Calisto MT" w:hAnsi="Calisto MT"/>
                <w:sz w:val="18"/>
                <w:szCs w:val="18"/>
              </w:rPr>
              <w:t>teoritik</w:t>
            </w:r>
            <w:proofErr w:type="spellEnd"/>
          </w:p>
        </w:tc>
        <w:tc>
          <w:tcPr>
            <w:tcW w:w="4211" w:type="dxa"/>
            <w:shd w:val="clear" w:color="auto" w:fill="auto"/>
          </w:tcPr>
          <w:p w14:paraId="4DC95396" w14:textId="77777777" w:rsidR="0064316E" w:rsidRDefault="0064316E" w:rsidP="00122782">
            <w:pPr>
              <w:spacing w:before="0"/>
              <w:rPr>
                <w:color w:val="000000"/>
                <w:sz w:val="20"/>
                <w:szCs w:val="20"/>
              </w:rPr>
            </w:pPr>
            <w:r>
              <w:rPr>
                <w:rFonts w:ascii="Calisto MT" w:hAnsi="Calisto MT"/>
                <w:sz w:val="18"/>
                <w:szCs w:val="18"/>
              </w:rPr>
              <w:t>89,6</w:t>
            </w:r>
            <w:r w:rsidRPr="00CC3768">
              <w:rPr>
                <w:rFonts w:ascii="Calisto MT" w:hAnsi="Calisto MT"/>
                <w:sz w:val="18"/>
                <w:szCs w:val="18"/>
              </w:rPr>
              <w:t>%</w:t>
            </w:r>
          </w:p>
        </w:tc>
      </w:tr>
      <w:tr w:rsidR="0064316E" w14:paraId="4A9BD346" w14:textId="77777777" w:rsidTr="0064316E">
        <w:trPr>
          <w:trHeight w:val="20"/>
          <w:jc w:val="center"/>
        </w:trPr>
        <w:tc>
          <w:tcPr>
            <w:tcW w:w="4400" w:type="dxa"/>
            <w:shd w:val="clear" w:color="auto" w:fill="auto"/>
          </w:tcPr>
          <w:p w14:paraId="5A1BF965" w14:textId="77777777" w:rsidR="0064316E" w:rsidRDefault="0064316E" w:rsidP="00122782">
            <w:pPr>
              <w:spacing w:before="0"/>
              <w:rPr>
                <w:color w:val="000000"/>
                <w:sz w:val="20"/>
                <w:szCs w:val="20"/>
              </w:rPr>
            </w:pPr>
            <w:r w:rsidRPr="00CC3768">
              <w:rPr>
                <w:rFonts w:ascii="Calisto MT" w:hAnsi="Calisto MT"/>
                <w:sz w:val="18"/>
                <w:szCs w:val="18"/>
              </w:rPr>
              <w:t>Profesionalitas guru</w:t>
            </w:r>
          </w:p>
        </w:tc>
        <w:tc>
          <w:tcPr>
            <w:tcW w:w="4211" w:type="dxa"/>
            <w:shd w:val="clear" w:color="auto" w:fill="auto"/>
          </w:tcPr>
          <w:p w14:paraId="7E3B78F2" w14:textId="77777777" w:rsidR="0064316E" w:rsidRDefault="0064316E" w:rsidP="00122782">
            <w:pPr>
              <w:spacing w:before="0"/>
              <w:rPr>
                <w:color w:val="000000"/>
                <w:sz w:val="20"/>
                <w:szCs w:val="20"/>
              </w:rPr>
            </w:pPr>
            <w:r>
              <w:rPr>
                <w:rFonts w:ascii="Calisto MT" w:hAnsi="Calisto MT"/>
                <w:sz w:val="18"/>
                <w:szCs w:val="18"/>
              </w:rPr>
              <w:t>87,7</w:t>
            </w:r>
            <w:r w:rsidRPr="00CC3768">
              <w:rPr>
                <w:rFonts w:ascii="Calisto MT" w:hAnsi="Calisto MT"/>
                <w:sz w:val="18"/>
                <w:szCs w:val="18"/>
              </w:rPr>
              <w:t>%</w:t>
            </w:r>
          </w:p>
        </w:tc>
      </w:tr>
      <w:tr w:rsidR="0064316E" w14:paraId="4D036A26" w14:textId="77777777" w:rsidTr="0064316E">
        <w:trPr>
          <w:trHeight w:val="20"/>
          <w:jc w:val="center"/>
        </w:trPr>
        <w:tc>
          <w:tcPr>
            <w:tcW w:w="4400" w:type="dxa"/>
            <w:shd w:val="clear" w:color="auto" w:fill="auto"/>
          </w:tcPr>
          <w:p w14:paraId="57050BE8" w14:textId="77777777" w:rsidR="0064316E" w:rsidRDefault="0064316E" w:rsidP="00122782">
            <w:pPr>
              <w:spacing w:before="0"/>
              <w:rPr>
                <w:color w:val="000000"/>
                <w:sz w:val="20"/>
                <w:szCs w:val="20"/>
              </w:rPr>
            </w:pPr>
            <w:r w:rsidRPr="00CC3768">
              <w:rPr>
                <w:rFonts w:ascii="Calisto MT" w:hAnsi="Calisto MT"/>
                <w:sz w:val="18"/>
                <w:szCs w:val="18"/>
              </w:rPr>
              <w:t>Sarana &amp; prasarana</w:t>
            </w:r>
          </w:p>
        </w:tc>
        <w:tc>
          <w:tcPr>
            <w:tcW w:w="4211" w:type="dxa"/>
            <w:shd w:val="clear" w:color="auto" w:fill="auto"/>
          </w:tcPr>
          <w:p w14:paraId="77A69733" w14:textId="77777777" w:rsidR="0064316E" w:rsidRDefault="0064316E" w:rsidP="00122782">
            <w:pPr>
              <w:spacing w:before="0"/>
              <w:rPr>
                <w:color w:val="000000"/>
                <w:sz w:val="20"/>
                <w:szCs w:val="20"/>
              </w:rPr>
            </w:pPr>
            <w:r>
              <w:rPr>
                <w:rFonts w:ascii="Calisto MT" w:hAnsi="Calisto MT"/>
                <w:sz w:val="18"/>
                <w:szCs w:val="18"/>
              </w:rPr>
              <w:t>82,2</w:t>
            </w:r>
            <w:r w:rsidRPr="00CC3768">
              <w:rPr>
                <w:rFonts w:ascii="Calisto MT" w:hAnsi="Calisto MT"/>
                <w:sz w:val="18"/>
                <w:szCs w:val="18"/>
              </w:rPr>
              <w:t>%</w:t>
            </w:r>
          </w:p>
        </w:tc>
      </w:tr>
      <w:tr w:rsidR="0064316E" w14:paraId="569601BF" w14:textId="77777777" w:rsidTr="0064316E">
        <w:trPr>
          <w:trHeight w:val="20"/>
          <w:jc w:val="center"/>
        </w:trPr>
        <w:tc>
          <w:tcPr>
            <w:tcW w:w="4400" w:type="dxa"/>
            <w:shd w:val="clear" w:color="auto" w:fill="auto"/>
          </w:tcPr>
          <w:p w14:paraId="170C1FEE" w14:textId="77777777" w:rsidR="0064316E" w:rsidRDefault="0064316E" w:rsidP="00122782">
            <w:pPr>
              <w:spacing w:before="0"/>
              <w:rPr>
                <w:color w:val="000000"/>
                <w:sz w:val="20"/>
                <w:szCs w:val="20"/>
              </w:rPr>
            </w:pPr>
            <w:r w:rsidRPr="00CC3768">
              <w:rPr>
                <w:rFonts w:ascii="Calisto MT" w:hAnsi="Calisto MT"/>
                <w:sz w:val="18"/>
                <w:szCs w:val="18"/>
              </w:rPr>
              <w:t>Manajemen resiko</w:t>
            </w:r>
          </w:p>
        </w:tc>
        <w:tc>
          <w:tcPr>
            <w:tcW w:w="4211" w:type="dxa"/>
            <w:shd w:val="clear" w:color="auto" w:fill="auto"/>
          </w:tcPr>
          <w:p w14:paraId="4731A50F" w14:textId="77777777" w:rsidR="0064316E" w:rsidRDefault="0064316E" w:rsidP="00122782">
            <w:pPr>
              <w:spacing w:before="0"/>
              <w:rPr>
                <w:color w:val="000000"/>
                <w:sz w:val="20"/>
                <w:szCs w:val="20"/>
              </w:rPr>
            </w:pPr>
            <w:r>
              <w:rPr>
                <w:rFonts w:ascii="Calisto MT" w:hAnsi="Calisto MT"/>
                <w:sz w:val="18"/>
                <w:szCs w:val="18"/>
              </w:rPr>
              <w:t>100</w:t>
            </w:r>
            <w:r w:rsidRPr="00CC3768">
              <w:rPr>
                <w:rFonts w:ascii="Calisto MT" w:hAnsi="Calisto MT"/>
                <w:sz w:val="18"/>
                <w:szCs w:val="18"/>
              </w:rPr>
              <w:t>%</w:t>
            </w:r>
          </w:p>
        </w:tc>
      </w:tr>
      <w:tr w:rsidR="0064316E" w14:paraId="3A2787EE" w14:textId="77777777" w:rsidTr="0064316E">
        <w:trPr>
          <w:trHeight w:val="20"/>
          <w:jc w:val="center"/>
        </w:trPr>
        <w:tc>
          <w:tcPr>
            <w:tcW w:w="4400" w:type="dxa"/>
            <w:shd w:val="clear" w:color="auto" w:fill="auto"/>
          </w:tcPr>
          <w:p w14:paraId="53CDD94C" w14:textId="77777777" w:rsidR="0064316E" w:rsidRDefault="0064316E" w:rsidP="00122782">
            <w:pPr>
              <w:spacing w:before="0"/>
              <w:rPr>
                <w:color w:val="000000"/>
                <w:sz w:val="20"/>
                <w:szCs w:val="20"/>
              </w:rPr>
            </w:pPr>
            <w:r w:rsidRPr="00CC3768">
              <w:rPr>
                <w:rFonts w:ascii="Calisto MT" w:hAnsi="Calisto MT"/>
                <w:sz w:val="18"/>
                <w:szCs w:val="18"/>
              </w:rPr>
              <w:t>Keamanan program</w:t>
            </w:r>
          </w:p>
        </w:tc>
        <w:tc>
          <w:tcPr>
            <w:tcW w:w="4211" w:type="dxa"/>
            <w:shd w:val="clear" w:color="auto" w:fill="auto"/>
          </w:tcPr>
          <w:p w14:paraId="1B161B71" w14:textId="77777777" w:rsidR="0064316E" w:rsidRDefault="0064316E" w:rsidP="00122782">
            <w:pPr>
              <w:spacing w:before="0"/>
              <w:rPr>
                <w:color w:val="000000"/>
                <w:sz w:val="20"/>
                <w:szCs w:val="20"/>
              </w:rPr>
            </w:pPr>
            <w:r>
              <w:rPr>
                <w:rFonts w:ascii="Calisto MT" w:hAnsi="Calisto MT"/>
                <w:sz w:val="18"/>
                <w:szCs w:val="18"/>
              </w:rPr>
              <w:t>100</w:t>
            </w:r>
            <w:r w:rsidRPr="00CC3768">
              <w:rPr>
                <w:rFonts w:ascii="Calisto MT" w:hAnsi="Calisto MT"/>
                <w:sz w:val="18"/>
                <w:szCs w:val="18"/>
              </w:rPr>
              <w:t>%</w:t>
            </w:r>
          </w:p>
        </w:tc>
      </w:tr>
      <w:tr w:rsidR="0064316E" w14:paraId="0A0A97DE" w14:textId="77777777" w:rsidTr="0064316E">
        <w:trPr>
          <w:trHeight w:val="20"/>
          <w:jc w:val="center"/>
        </w:trPr>
        <w:tc>
          <w:tcPr>
            <w:tcW w:w="4400" w:type="dxa"/>
            <w:shd w:val="clear" w:color="auto" w:fill="auto"/>
          </w:tcPr>
          <w:p w14:paraId="1996930D" w14:textId="77777777" w:rsidR="0064316E" w:rsidRDefault="0064316E" w:rsidP="00122782">
            <w:pPr>
              <w:spacing w:before="0"/>
              <w:rPr>
                <w:color w:val="000000"/>
                <w:sz w:val="20"/>
                <w:szCs w:val="20"/>
              </w:rPr>
            </w:pPr>
            <w:r w:rsidRPr="00CC3768">
              <w:rPr>
                <w:rFonts w:ascii="Calisto MT" w:hAnsi="Calisto MT"/>
                <w:sz w:val="18"/>
                <w:szCs w:val="18"/>
              </w:rPr>
              <w:t>Nilai-nilai perdamaian</w:t>
            </w:r>
          </w:p>
        </w:tc>
        <w:tc>
          <w:tcPr>
            <w:tcW w:w="4211" w:type="dxa"/>
            <w:shd w:val="clear" w:color="auto" w:fill="auto"/>
          </w:tcPr>
          <w:p w14:paraId="4094082E" w14:textId="77777777" w:rsidR="0064316E" w:rsidRDefault="0064316E" w:rsidP="00122782">
            <w:pPr>
              <w:spacing w:before="0"/>
              <w:rPr>
                <w:color w:val="000000"/>
                <w:sz w:val="20"/>
                <w:szCs w:val="20"/>
              </w:rPr>
            </w:pPr>
            <w:r>
              <w:rPr>
                <w:rFonts w:ascii="Calisto MT" w:hAnsi="Calisto MT"/>
                <w:sz w:val="18"/>
                <w:szCs w:val="18"/>
              </w:rPr>
              <w:t>100</w:t>
            </w:r>
            <w:r w:rsidRPr="00CC3768">
              <w:rPr>
                <w:rFonts w:ascii="Calisto MT" w:hAnsi="Calisto MT"/>
                <w:sz w:val="18"/>
                <w:szCs w:val="18"/>
              </w:rPr>
              <w:t>%</w:t>
            </w:r>
          </w:p>
        </w:tc>
      </w:tr>
      <w:tr w:rsidR="0064316E" w14:paraId="364A3C9D" w14:textId="77777777" w:rsidTr="0064316E">
        <w:trPr>
          <w:trHeight w:val="20"/>
          <w:jc w:val="center"/>
        </w:trPr>
        <w:tc>
          <w:tcPr>
            <w:tcW w:w="4400" w:type="dxa"/>
            <w:shd w:val="clear" w:color="auto" w:fill="auto"/>
          </w:tcPr>
          <w:p w14:paraId="5370DA3E" w14:textId="77777777" w:rsidR="0064316E" w:rsidRDefault="0064316E" w:rsidP="00122782">
            <w:pPr>
              <w:spacing w:before="0"/>
              <w:rPr>
                <w:color w:val="000000"/>
                <w:sz w:val="20"/>
                <w:szCs w:val="20"/>
              </w:rPr>
            </w:pPr>
            <w:r w:rsidRPr="00CC3768">
              <w:rPr>
                <w:rFonts w:ascii="Calisto MT" w:hAnsi="Calisto MT"/>
                <w:sz w:val="18"/>
                <w:szCs w:val="18"/>
              </w:rPr>
              <w:t xml:space="preserve">Kerjasama internasional </w:t>
            </w:r>
          </w:p>
        </w:tc>
        <w:tc>
          <w:tcPr>
            <w:tcW w:w="4211" w:type="dxa"/>
            <w:shd w:val="clear" w:color="auto" w:fill="auto"/>
          </w:tcPr>
          <w:p w14:paraId="2B715803" w14:textId="77777777" w:rsidR="0064316E" w:rsidRDefault="0064316E" w:rsidP="00122782">
            <w:pPr>
              <w:spacing w:before="0"/>
              <w:rPr>
                <w:color w:val="000000"/>
                <w:sz w:val="20"/>
                <w:szCs w:val="20"/>
              </w:rPr>
            </w:pPr>
            <w:r>
              <w:rPr>
                <w:rFonts w:ascii="Calisto MT" w:hAnsi="Calisto MT"/>
                <w:sz w:val="18"/>
                <w:szCs w:val="18"/>
              </w:rPr>
              <w:t>0</w:t>
            </w:r>
            <w:r w:rsidRPr="00CC3768">
              <w:rPr>
                <w:rFonts w:ascii="Calisto MT" w:hAnsi="Calisto MT"/>
                <w:sz w:val="18"/>
                <w:szCs w:val="18"/>
              </w:rPr>
              <w:t>%</w:t>
            </w:r>
          </w:p>
        </w:tc>
      </w:tr>
    </w:tbl>
    <w:p w14:paraId="13219B54" w14:textId="77777777" w:rsidR="00980522" w:rsidRDefault="00980522" w:rsidP="00980522">
      <w:pPr>
        <w:pStyle w:val="Heading4"/>
        <w:spacing w:line="240" w:lineRule="auto"/>
        <w:ind w:firstLine="0"/>
        <w:rPr>
          <w:b/>
          <w:lang w:val="en-US"/>
        </w:rPr>
      </w:pPr>
    </w:p>
    <w:p w14:paraId="37A7D0B5" w14:textId="77777777" w:rsidR="00625D9E" w:rsidRPr="00625D9E" w:rsidRDefault="00625D9E" w:rsidP="00625D9E">
      <w:pPr>
        <w:sectPr w:rsidR="00625D9E" w:rsidRPr="00625D9E" w:rsidSect="00980522">
          <w:type w:val="continuous"/>
          <w:pgSz w:w="11907" w:h="16839" w:code="9"/>
          <w:pgMar w:top="1701" w:right="1701" w:bottom="1701" w:left="1701" w:header="720" w:footer="720" w:gutter="0"/>
          <w:cols w:space="387"/>
          <w:docGrid w:linePitch="360"/>
        </w:sectPr>
      </w:pPr>
    </w:p>
    <w:p w14:paraId="266B081B" w14:textId="305D4FC9" w:rsidR="0047260D" w:rsidRDefault="00625D9E" w:rsidP="0047260D">
      <w:pPr>
        <w:pStyle w:val="Heading4"/>
        <w:spacing w:line="240" w:lineRule="auto"/>
        <w:ind w:firstLine="567"/>
        <w:rPr>
          <w:bCs/>
        </w:rPr>
      </w:pPr>
      <w:r w:rsidRPr="00CC3768">
        <w:rPr>
          <w:bCs/>
        </w:rPr>
        <w:t xml:space="preserve">Berdasarkan </w:t>
      </w:r>
      <w:r>
        <w:rPr>
          <w:bCs/>
        </w:rPr>
        <w:t xml:space="preserve">hasil perolehan data </w:t>
      </w:r>
      <w:r w:rsidR="00B056F2">
        <w:rPr>
          <w:bCs/>
        </w:rPr>
        <w:t>kuantitatif berupa persentase pada daerah urban, implementasi pendidikan jasmani secara keseluruhan berada pada persentase sangat baik. Meskipun begitu, terdapat perbedaan implementasi secara empiris yang didapatkan dari hasil wawancara. Berdasarkan data k</w:t>
      </w:r>
      <w:r>
        <w:rPr>
          <w:bCs/>
        </w:rPr>
        <w:t xml:space="preserve">ualitatif yang didapatkan dengan teknik wawancara melalui  </w:t>
      </w:r>
      <w:r w:rsidRPr="00B056F2">
        <w:rPr>
          <w:bCs/>
          <w:i/>
          <w:iCs/>
        </w:rPr>
        <w:t>focus group discussion</w:t>
      </w:r>
      <w:r w:rsidR="0014126D" w:rsidRPr="00B056F2">
        <w:rPr>
          <w:bCs/>
          <w:i/>
          <w:iCs/>
        </w:rPr>
        <w:t xml:space="preserve">. </w:t>
      </w:r>
      <w:r w:rsidR="0014126D" w:rsidRPr="00B056F2">
        <w:rPr>
          <w:bCs/>
        </w:rPr>
        <w:t>D</w:t>
      </w:r>
      <w:r w:rsidR="00493098" w:rsidRPr="00B056F2">
        <w:rPr>
          <w:bCs/>
        </w:rPr>
        <w:t xml:space="preserve">idapati </w:t>
      </w:r>
      <w:r w:rsidRPr="00B056F2">
        <w:rPr>
          <w:bCs/>
        </w:rPr>
        <w:t xml:space="preserve">kesenjangan </w:t>
      </w:r>
      <w:r w:rsidR="0014126D" w:rsidRPr="00B056F2">
        <w:rPr>
          <w:bCs/>
        </w:rPr>
        <w:t xml:space="preserve">implementasi secara empiris </w:t>
      </w:r>
      <w:r w:rsidR="00B056F2" w:rsidRPr="00B056F2">
        <w:rPr>
          <w:bCs/>
        </w:rPr>
        <w:t>terhadap</w:t>
      </w:r>
      <w:r w:rsidR="00B056F2">
        <w:rPr>
          <w:bCs/>
        </w:rPr>
        <w:t xml:space="preserve"> </w:t>
      </w:r>
      <w:r w:rsidR="00493098" w:rsidRPr="00B056F2">
        <w:rPr>
          <w:bCs/>
        </w:rPr>
        <w:t xml:space="preserve">pertanyaan dibeberapa </w:t>
      </w:r>
      <w:r w:rsidR="008E20AD" w:rsidRPr="00B056F2">
        <w:rPr>
          <w:bCs/>
        </w:rPr>
        <w:t>indi</w:t>
      </w:r>
      <w:r w:rsidR="0014126D" w:rsidRPr="00B056F2">
        <w:rPr>
          <w:bCs/>
        </w:rPr>
        <w:t>k</w:t>
      </w:r>
      <w:r w:rsidR="008E20AD" w:rsidRPr="00B056F2">
        <w:rPr>
          <w:bCs/>
        </w:rPr>
        <w:t>ator</w:t>
      </w:r>
      <w:r w:rsidR="0014126D" w:rsidRPr="00B056F2">
        <w:rPr>
          <w:bCs/>
        </w:rPr>
        <w:t>,</w:t>
      </w:r>
      <w:r w:rsidR="008E20AD" w:rsidRPr="00B056F2">
        <w:rPr>
          <w:bCs/>
        </w:rPr>
        <w:t xml:space="preserve"> </w:t>
      </w:r>
      <w:r w:rsidR="00493098" w:rsidRPr="00B056F2">
        <w:rPr>
          <w:bCs/>
        </w:rPr>
        <w:t xml:space="preserve">diantaranya </w:t>
      </w:r>
      <w:r w:rsidR="0014126D" w:rsidRPr="00B056F2">
        <w:rPr>
          <w:bCs/>
        </w:rPr>
        <w:t>ind</w:t>
      </w:r>
      <w:r w:rsidR="00B056F2">
        <w:rPr>
          <w:bCs/>
        </w:rPr>
        <w:t>ik</w:t>
      </w:r>
      <w:r w:rsidR="0014126D" w:rsidRPr="00B056F2">
        <w:rPr>
          <w:bCs/>
        </w:rPr>
        <w:t xml:space="preserve">ator pada </w:t>
      </w:r>
      <w:r w:rsidR="00493098" w:rsidRPr="00B056F2">
        <w:rPr>
          <w:bCs/>
        </w:rPr>
        <w:t xml:space="preserve">aspek </w:t>
      </w:r>
      <w:r w:rsidR="00493098" w:rsidRPr="00CC3768">
        <w:rPr>
          <w:bCs/>
        </w:rPr>
        <w:t>kesetaraan hak, kebermanfaatan program, kontribusi stakeholder</w:t>
      </w:r>
      <w:r w:rsidR="008E20AD">
        <w:rPr>
          <w:bCs/>
        </w:rPr>
        <w:t xml:space="preserve">, </w:t>
      </w:r>
      <w:r w:rsidR="008E555B" w:rsidRPr="00CC3768">
        <w:rPr>
          <w:bCs/>
        </w:rPr>
        <w:t>profesionalitas guru,</w:t>
      </w:r>
      <w:r w:rsidR="008E555B">
        <w:rPr>
          <w:bCs/>
        </w:rPr>
        <w:t xml:space="preserve"> </w:t>
      </w:r>
      <w:r w:rsidR="008932D5" w:rsidRPr="00CC3768">
        <w:rPr>
          <w:bCs/>
        </w:rPr>
        <w:t>budaya hidup aktif</w:t>
      </w:r>
      <w:r w:rsidR="008932D5">
        <w:rPr>
          <w:bCs/>
        </w:rPr>
        <w:t xml:space="preserve">, </w:t>
      </w:r>
      <w:r w:rsidR="008E555B">
        <w:rPr>
          <w:bCs/>
        </w:rPr>
        <w:t xml:space="preserve">dan </w:t>
      </w:r>
      <w:r w:rsidR="008E555B" w:rsidRPr="00CC3768">
        <w:rPr>
          <w:bCs/>
        </w:rPr>
        <w:t xml:space="preserve"> sarana &amp; prasarana</w:t>
      </w:r>
      <w:r w:rsidR="008E555B">
        <w:rPr>
          <w:bCs/>
        </w:rPr>
        <w:t xml:space="preserve">. Hasil terkait analisis kualitatif dijabarkan secara mendalam pada pembahasan. </w:t>
      </w:r>
      <w:r w:rsidR="001C0FFD">
        <w:rPr>
          <w:bCs/>
        </w:rPr>
        <w:t xml:space="preserve">Adapun terkait hasil kualitatif pada penelitian ini dijabarkan pada tabel </w:t>
      </w:r>
      <w:r w:rsidR="0064316E">
        <w:rPr>
          <w:bCs/>
        </w:rPr>
        <w:t>2</w:t>
      </w:r>
      <w:r w:rsidR="001C0FFD">
        <w:rPr>
          <w:bCs/>
        </w:rPr>
        <w:t xml:space="preserve">. Pernyataan </w:t>
      </w:r>
      <w:r w:rsidR="003A1D52" w:rsidRPr="003A1D52">
        <w:rPr>
          <w:bCs/>
        </w:rPr>
        <w:t>guru terhadap aspek piagam</w:t>
      </w:r>
      <w:r w:rsidR="003A1D52" w:rsidRPr="003A1D52">
        <w:rPr>
          <w:b/>
        </w:rPr>
        <w:t xml:space="preserve"> </w:t>
      </w:r>
      <w:r w:rsidR="001C0FFD">
        <w:rPr>
          <w:bCs/>
        </w:rPr>
        <w:t>piagam UNESCO di bawah ini :</w:t>
      </w:r>
    </w:p>
    <w:p w14:paraId="4A48B28A" w14:textId="37AFA482" w:rsidR="001C0FFD" w:rsidRPr="003A1D52" w:rsidRDefault="001C0FFD" w:rsidP="001C0FFD">
      <w:pPr>
        <w:pStyle w:val="Heading4"/>
        <w:spacing w:line="240" w:lineRule="auto"/>
        <w:ind w:firstLine="0"/>
        <w:rPr>
          <w:b/>
        </w:rPr>
      </w:pPr>
      <w:r w:rsidRPr="009B46D0">
        <w:rPr>
          <w:b/>
        </w:rPr>
        <w:t xml:space="preserve">Tabel </w:t>
      </w:r>
      <w:r w:rsidR="00B61B53">
        <w:rPr>
          <w:b/>
        </w:rPr>
        <w:t>2</w:t>
      </w:r>
      <w:r w:rsidRPr="009B46D0">
        <w:rPr>
          <w:b/>
        </w:rPr>
        <w:t xml:space="preserve">. </w:t>
      </w:r>
      <w:r w:rsidRPr="003A1D52">
        <w:rPr>
          <w:b/>
        </w:rPr>
        <w:t>Per</w:t>
      </w:r>
      <w:r w:rsidR="00010195" w:rsidRPr="003A1D52">
        <w:rPr>
          <w:b/>
        </w:rPr>
        <w:t>nyataan</w:t>
      </w:r>
      <w:r w:rsidRPr="003A1D52">
        <w:rPr>
          <w:b/>
        </w:rPr>
        <w:t xml:space="preserve"> </w:t>
      </w:r>
      <w:r w:rsidR="003A1D52" w:rsidRPr="003A1D52">
        <w:rPr>
          <w:b/>
        </w:rPr>
        <w:t xml:space="preserve">guru </w:t>
      </w:r>
      <w:r w:rsidR="00010195" w:rsidRPr="003A1D52">
        <w:rPr>
          <w:b/>
        </w:rPr>
        <w:t xml:space="preserve">terhadap aspek </w:t>
      </w:r>
      <w:r w:rsidRPr="003A1D52">
        <w:rPr>
          <w:b/>
        </w:rPr>
        <w:t xml:space="preserve">piagam UNESCO </w:t>
      </w:r>
    </w:p>
    <w:tbl>
      <w:tblPr>
        <w:tblW w:w="8677" w:type="dxa"/>
        <w:jc w:val="center"/>
        <w:tblBorders>
          <w:top w:val="single" w:sz="4" w:space="0" w:color="000000"/>
          <w:bottom w:val="single" w:sz="4" w:space="0" w:color="000000"/>
        </w:tblBorders>
        <w:tblLayout w:type="fixed"/>
        <w:tblLook w:val="0400" w:firstRow="0" w:lastRow="0" w:firstColumn="0" w:lastColumn="0" w:noHBand="0" w:noVBand="1"/>
      </w:tblPr>
      <w:tblGrid>
        <w:gridCol w:w="567"/>
        <w:gridCol w:w="1417"/>
        <w:gridCol w:w="1276"/>
        <w:gridCol w:w="1276"/>
        <w:gridCol w:w="2021"/>
        <w:gridCol w:w="2120"/>
      </w:tblGrid>
      <w:tr w:rsidR="0064316E" w14:paraId="6086AD57" w14:textId="77777777" w:rsidTr="0064316E">
        <w:trPr>
          <w:trHeight w:val="20"/>
          <w:jc w:val="center"/>
        </w:trPr>
        <w:tc>
          <w:tcPr>
            <w:tcW w:w="567" w:type="dxa"/>
            <w:vMerge w:val="restart"/>
            <w:tcBorders>
              <w:top w:val="single" w:sz="4" w:space="0" w:color="000000"/>
            </w:tcBorders>
          </w:tcPr>
          <w:p w14:paraId="7AC6B54D" w14:textId="77777777" w:rsidR="0064316E" w:rsidRPr="0064316E" w:rsidRDefault="0064316E" w:rsidP="00122782">
            <w:pPr>
              <w:spacing w:before="0"/>
              <w:rPr>
                <w:rFonts w:ascii="Calisto MT" w:hAnsi="Calisto MT"/>
                <w:b/>
                <w:color w:val="000000"/>
                <w:sz w:val="20"/>
                <w:szCs w:val="20"/>
                <w:lang w:val="sv-SE"/>
              </w:rPr>
            </w:pPr>
          </w:p>
          <w:p w14:paraId="34264734" w14:textId="77777777" w:rsidR="0064316E" w:rsidRPr="0064316E" w:rsidRDefault="0064316E" w:rsidP="00122782">
            <w:pPr>
              <w:spacing w:before="0"/>
              <w:rPr>
                <w:rFonts w:ascii="Calisto MT" w:hAnsi="Calisto MT"/>
                <w:b/>
                <w:color w:val="000000"/>
                <w:sz w:val="20"/>
                <w:szCs w:val="20"/>
              </w:rPr>
            </w:pPr>
            <w:r w:rsidRPr="0064316E">
              <w:rPr>
                <w:rFonts w:ascii="Calisto MT" w:hAnsi="Calisto MT"/>
                <w:b/>
                <w:color w:val="000000"/>
                <w:sz w:val="20"/>
                <w:szCs w:val="20"/>
              </w:rPr>
              <w:t>No</w:t>
            </w:r>
          </w:p>
        </w:tc>
        <w:tc>
          <w:tcPr>
            <w:tcW w:w="1417" w:type="dxa"/>
            <w:vMerge w:val="restart"/>
            <w:tcBorders>
              <w:top w:val="single" w:sz="4" w:space="0" w:color="000000"/>
              <w:bottom w:val="single" w:sz="4" w:space="0" w:color="auto"/>
            </w:tcBorders>
            <w:shd w:val="clear" w:color="auto" w:fill="auto"/>
            <w:vAlign w:val="bottom"/>
          </w:tcPr>
          <w:p w14:paraId="3B867606" w14:textId="77777777" w:rsidR="0064316E" w:rsidRPr="0064316E" w:rsidRDefault="0064316E" w:rsidP="00122782">
            <w:pPr>
              <w:spacing w:before="0"/>
              <w:rPr>
                <w:rFonts w:ascii="Calisto MT" w:hAnsi="Calisto MT"/>
                <w:b/>
                <w:color w:val="000000"/>
                <w:sz w:val="20"/>
                <w:szCs w:val="20"/>
              </w:rPr>
            </w:pPr>
            <w:r w:rsidRPr="0064316E">
              <w:rPr>
                <w:rFonts w:ascii="Calisto MT" w:hAnsi="Calisto MT"/>
                <w:b/>
                <w:color w:val="000000"/>
                <w:sz w:val="20"/>
                <w:szCs w:val="20"/>
              </w:rPr>
              <w:t>Aspek</w:t>
            </w:r>
          </w:p>
        </w:tc>
        <w:tc>
          <w:tcPr>
            <w:tcW w:w="1276" w:type="dxa"/>
            <w:vMerge w:val="restart"/>
            <w:tcBorders>
              <w:top w:val="single" w:sz="4" w:space="0" w:color="000000"/>
              <w:bottom w:val="single" w:sz="4" w:space="0" w:color="auto"/>
            </w:tcBorders>
            <w:shd w:val="clear" w:color="auto" w:fill="auto"/>
            <w:vAlign w:val="bottom"/>
          </w:tcPr>
          <w:p w14:paraId="306A9FBE" w14:textId="77777777" w:rsidR="0064316E" w:rsidRPr="0064316E" w:rsidRDefault="0064316E" w:rsidP="00122782">
            <w:pPr>
              <w:spacing w:before="0"/>
              <w:rPr>
                <w:rFonts w:ascii="Calisto MT" w:hAnsi="Calisto MT"/>
                <w:b/>
                <w:color w:val="000000"/>
                <w:sz w:val="20"/>
                <w:szCs w:val="20"/>
              </w:rPr>
            </w:pPr>
            <w:r w:rsidRPr="0064316E">
              <w:rPr>
                <w:rFonts w:ascii="Calisto MT" w:hAnsi="Calisto MT"/>
                <w:b/>
                <w:color w:val="000000"/>
                <w:sz w:val="20"/>
                <w:szCs w:val="20"/>
              </w:rPr>
              <w:t>Kategori</w:t>
            </w:r>
          </w:p>
        </w:tc>
        <w:tc>
          <w:tcPr>
            <w:tcW w:w="1276" w:type="dxa"/>
            <w:vMerge w:val="restart"/>
            <w:tcBorders>
              <w:top w:val="single" w:sz="4" w:space="0" w:color="000000"/>
            </w:tcBorders>
          </w:tcPr>
          <w:p w14:paraId="057F1485" w14:textId="77777777" w:rsidR="0064316E" w:rsidRPr="0064316E" w:rsidRDefault="0064316E" w:rsidP="00122782">
            <w:pPr>
              <w:spacing w:before="0"/>
              <w:rPr>
                <w:rFonts w:ascii="Calisto MT" w:hAnsi="Calisto MT"/>
                <w:b/>
                <w:color w:val="000000"/>
                <w:sz w:val="20"/>
                <w:szCs w:val="20"/>
              </w:rPr>
            </w:pPr>
          </w:p>
          <w:p w14:paraId="7742D348" w14:textId="77777777" w:rsidR="0064316E" w:rsidRPr="0064316E" w:rsidRDefault="0064316E" w:rsidP="00122782">
            <w:pPr>
              <w:spacing w:before="0"/>
              <w:rPr>
                <w:rFonts w:ascii="Calisto MT" w:hAnsi="Calisto MT"/>
                <w:b/>
                <w:color w:val="000000"/>
                <w:sz w:val="20"/>
                <w:szCs w:val="20"/>
              </w:rPr>
            </w:pPr>
            <w:r w:rsidRPr="0064316E">
              <w:rPr>
                <w:rFonts w:ascii="Calisto MT" w:hAnsi="Calisto MT"/>
                <w:b/>
                <w:color w:val="000000"/>
                <w:sz w:val="20"/>
                <w:szCs w:val="20"/>
              </w:rPr>
              <w:t>Kode</w:t>
            </w:r>
          </w:p>
        </w:tc>
        <w:tc>
          <w:tcPr>
            <w:tcW w:w="4141" w:type="dxa"/>
            <w:gridSpan w:val="2"/>
            <w:tcBorders>
              <w:top w:val="single" w:sz="4" w:space="0" w:color="000000"/>
              <w:left w:val="single" w:sz="4" w:space="0" w:color="auto"/>
              <w:bottom w:val="single" w:sz="4" w:space="0" w:color="000000"/>
            </w:tcBorders>
          </w:tcPr>
          <w:p w14:paraId="59B06E5C" w14:textId="77777777" w:rsidR="0064316E" w:rsidRPr="0064316E" w:rsidRDefault="0064316E" w:rsidP="00122782">
            <w:pPr>
              <w:spacing w:before="0"/>
              <w:rPr>
                <w:rFonts w:ascii="Calisto MT" w:hAnsi="Calisto MT"/>
                <w:b/>
                <w:color w:val="000000"/>
                <w:sz w:val="20"/>
                <w:szCs w:val="20"/>
              </w:rPr>
            </w:pPr>
            <w:r w:rsidRPr="0064316E">
              <w:rPr>
                <w:rFonts w:ascii="Calisto MT" w:hAnsi="Calisto MT"/>
                <w:b/>
                <w:color w:val="000000"/>
                <w:sz w:val="20"/>
                <w:szCs w:val="20"/>
              </w:rPr>
              <w:t>Deskripsi</w:t>
            </w:r>
          </w:p>
        </w:tc>
      </w:tr>
      <w:tr w:rsidR="0064316E" w14:paraId="3F2F744B" w14:textId="77777777" w:rsidTr="0064316E">
        <w:trPr>
          <w:trHeight w:val="20"/>
          <w:jc w:val="center"/>
        </w:trPr>
        <w:tc>
          <w:tcPr>
            <w:tcW w:w="567" w:type="dxa"/>
            <w:vMerge/>
            <w:tcBorders>
              <w:bottom w:val="single" w:sz="4" w:space="0" w:color="auto"/>
            </w:tcBorders>
          </w:tcPr>
          <w:p w14:paraId="29B4CE5B" w14:textId="77777777" w:rsidR="0064316E" w:rsidRPr="0064316E" w:rsidRDefault="0064316E" w:rsidP="00122782">
            <w:pPr>
              <w:spacing w:before="0"/>
              <w:rPr>
                <w:rFonts w:ascii="Calisto MT" w:hAnsi="Calisto MT"/>
                <w:b/>
                <w:color w:val="000000"/>
                <w:sz w:val="20"/>
                <w:szCs w:val="20"/>
              </w:rPr>
            </w:pPr>
          </w:p>
        </w:tc>
        <w:tc>
          <w:tcPr>
            <w:tcW w:w="1417" w:type="dxa"/>
            <w:vMerge/>
            <w:tcBorders>
              <w:top w:val="nil"/>
              <w:bottom w:val="single" w:sz="4" w:space="0" w:color="auto"/>
            </w:tcBorders>
            <w:shd w:val="clear" w:color="auto" w:fill="auto"/>
            <w:vAlign w:val="bottom"/>
          </w:tcPr>
          <w:p w14:paraId="185D342E" w14:textId="77777777" w:rsidR="0064316E" w:rsidRPr="0064316E" w:rsidRDefault="0064316E" w:rsidP="00122782">
            <w:pPr>
              <w:spacing w:before="0"/>
              <w:rPr>
                <w:rFonts w:ascii="Calisto MT" w:hAnsi="Calisto MT"/>
                <w:b/>
                <w:color w:val="000000"/>
                <w:sz w:val="20"/>
                <w:szCs w:val="20"/>
              </w:rPr>
            </w:pPr>
          </w:p>
        </w:tc>
        <w:tc>
          <w:tcPr>
            <w:tcW w:w="1276" w:type="dxa"/>
            <w:vMerge/>
            <w:tcBorders>
              <w:top w:val="nil"/>
              <w:bottom w:val="single" w:sz="4" w:space="0" w:color="auto"/>
            </w:tcBorders>
            <w:shd w:val="clear" w:color="auto" w:fill="auto"/>
            <w:vAlign w:val="bottom"/>
          </w:tcPr>
          <w:p w14:paraId="4AA78840" w14:textId="77777777" w:rsidR="0064316E" w:rsidRPr="0064316E" w:rsidRDefault="0064316E" w:rsidP="00122782">
            <w:pPr>
              <w:spacing w:before="0"/>
              <w:rPr>
                <w:rFonts w:ascii="Calisto MT" w:hAnsi="Calisto MT"/>
                <w:b/>
                <w:color w:val="000000"/>
                <w:sz w:val="20"/>
                <w:szCs w:val="20"/>
              </w:rPr>
            </w:pPr>
          </w:p>
        </w:tc>
        <w:tc>
          <w:tcPr>
            <w:tcW w:w="1276" w:type="dxa"/>
            <w:vMerge/>
            <w:tcBorders>
              <w:bottom w:val="single" w:sz="4" w:space="0" w:color="auto"/>
            </w:tcBorders>
          </w:tcPr>
          <w:p w14:paraId="1822DA4A" w14:textId="77777777" w:rsidR="0064316E" w:rsidRPr="0064316E" w:rsidRDefault="0064316E" w:rsidP="00122782">
            <w:pPr>
              <w:spacing w:before="0"/>
              <w:rPr>
                <w:rFonts w:ascii="Calisto MT" w:hAnsi="Calisto MT"/>
                <w:b/>
                <w:color w:val="000000"/>
                <w:sz w:val="20"/>
                <w:szCs w:val="20"/>
              </w:rPr>
            </w:pPr>
          </w:p>
        </w:tc>
        <w:tc>
          <w:tcPr>
            <w:tcW w:w="2021" w:type="dxa"/>
            <w:tcBorders>
              <w:top w:val="single" w:sz="4" w:space="0" w:color="000000"/>
              <w:left w:val="single" w:sz="4" w:space="0" w:color="auto"/>
              <w:bottom w:val="single" w:sz="4" w:space="0" w:color="auto"/>
            </w:tcBorders>
          </w:tcPr>
          <w:p w14:paraId="0C1D16F6" w14:textId="77777777" w:rsidR="0064316E" w:rsidRPr="0064316E" w:rsidRDefault="0064316E" w:rsidP="00122782">
            <w:pPr>
              <w:spacing w:before="0"/>
              <w:rPr>
                <w:rFonts w:ascii="Calisto MT" w:hAnsi="Calisto MT"/>
                <w:b/>
                <w:color w:val="000000"/>
                <w:sz w:val="20"/>
                <w:szCs w:val="20"/>
              </w:rPr>
            </w:pPr>
            <w:r w:rsidRPr="0064316E">
              <w:rPr>
                <w:rFonts w:ascii="Calisto MT" w:hAnsi="Calisto MT"/>
                <w:b/>
                <w:color w:val="000000"/>
                <w:sz w:val="20"/>
                <w:szCs w:val="20"/>
              </w:rPr>
              <w:t>Dukungan</w:t>
            </w:r>
          </w:p>
        </w:tc>
        <w:tc>
          <w:tcPr>
            <w:tcW w:w="2120" w:type="dxa"/>
            <w:tcBorders>
              <w:top w:val="single" w:sz="4" w:space="0" w:color="000000"/>
              <w:left w:val="single" w:sz="4" w:space="0" w:color="auto"/>
              <w:bottom w:val="single" w:sz="4" w:space="0" w:color="auto"/>
            </w:tcBorders>
          </w:tcPr>
          <w:p w14:paraId="5306992F" w14:textId="77777777" w:rsidR="0064316E" w:rsidRPr="0064316E" w:rsidRDefault="0064316E" w:rsidP="00122782">
            <w:pPr>
              <w:spacing w:before="0"/>
              <w:rPr>
                <w:rFonts w:ascii="Calisto MT" w:hAnsi="Calisto MT"/>
                <w:b/>
                <w:color w:val="000000"/>
                <w:sz w:val="20"/>
                <w:szCs w:val="20"/>
              </w:rPr>
            </w:pPr>
            <w:r w:rsidRPr="0064316E">
              <w:rPr>
                <w:rFonts w:ascii="Calisto MT" w:hAnsi="Calisto MT"/>
                <w:b/>
                <w:color w:val="000000"/>
                <w:sz w:val="20"/>
                <w:szCs w:val="20"/>
              </w:rPr>
              <w:t>Hambatan</w:t>
            </w:r>
          </w:p>
        </w:tc>
      </w:tr>
      <w:tr w:rsidR="0064316E" w:rsidRPr="00146AE2" w14:paraId="20DCC5D6" w14:textId="77777777" w:rsidTr="0064316E">
        <w:trPr>
          <w:trHeight w:val="777"/>
          <w:jc w:val="center"/>
        </w:trPr>
        <w:tc>
          <w:tcPr>
            <w:tcW w:w="567" w:type="dxa"/>
            <w:vMerge w:val="restart"/>
            <w:tcBorders>
              <w:top w:val="single" w:sz="4" w:space="0" w:color="auto"/>
            </w:tcBorders>
          </w:tcPr>
          <w:p w14:paraId="1A8D4162" w14:textId="77777777" w:rsidR="0064316E" w:rsidRPr="0064316E" w:rsidRDefault="0064316E" w:rsidP="00122782">
            <w:pPr>
              <w:spacing w:before="0"/>
              <w:rPr>
                <w:rFonts w:ascii="Calisto MT" w:hAnsi="Calisto MT"/>
                <w:sz w:val="18"/>
                <w:szCs w:val="18"/>
              </w:rPr>
            </w:pPr>
            <w:r w:rsidRPr="0064316E">
              <w:rPr>
                <w:rFonts w:ascii="Calisto MT" w:hAnsi="Calisto MT"/>
                <w:sz w:val="18"/>
                <w:szCs w:val="18"/>
              </w:rPr>
              <w:t>1.</w:t>
            </w:r>
          </w:p>
        </w:tc>
        <w:tc>
          <w:tcPr>
            <w:tcW w:w="1417" w:type="dxa"/>
            <w:vMerge w:val="restart"/>
            <w:tcBorders>
              <w:top w:val="single" w:sz="4" w:space="0" w:color="auto"/>
              <w:bottom w:val="nil"/>
            </w:tcBorders>
            <w:shd w:val="clear" w:color="auto" w:fill="auto"/>
          </w:tcPr>
          <w:p w14:paraId="381201CD"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Kesetaraan hak</w:t>
            </w:r>
          </w:p>
        </w:tc>
        <w:tc>
          <w:tcPr>
            <w:tcW w:w="1276" w:type="dxa"/>
            <w:vMerge w:val="restart"/>
            <w:tcBorders>
              <w:top w:val="single" w:sz="4" w:space="0" w:color="auto"/>
              <w:bottom w:val="nil"/>
            </w:tcBorders>
            <w:shd w:val="clear" w:color="auto" w:fill="auto"/>
          </w:tcPr>
          <w:p w14:paraId="25DBEDF7"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 xml:space="preserve">Pemenuhan hak </w:t>
            </w:r>
          </w:p>
        </w:tc>
        <w:tc>
          <w:tcPr>
            <w:tcW w:w="1276" w:type="dxa"/>
            <w:tcBorders>
              <w:top w:val="single" w:sz="4" w:space="0" w:color="auto"/>
              <w:bottom w:val="nil"/>
            </w:tcBorders>
          </w:tcPr>
          <w:p w14:paraId="0144E411"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Perbedaan gender</w:t>
            </w:r>
          </w:p>
        </w:tc>
        <w:tc>
          <w:tcPr>
            <w:tcW w:w="2021" w:type="dxa"/>
            <w:tcBorders>
              <w:top w:val="single" w:sz="4" w:space="0" w:color="auto"/>
              <w:bottom w:val="nil"/>
            </w:tcBorders>
          </w:tcPr>
          <w:p w14:paraId="4AEE10A7"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 xml:space="preserve">Kesetaraan hak (45) </w:t>
            </w:r>
          </w:p>
        </w:tc>
        <w:tc>
          <w:tcPr>
            <w:tcW w:w="2120" w:type="dxa"/>
            <w:tcBorders>
              <w:top w:val="single" w:sz="4" w:space="0" w:color="auto"/>
              <w:bottom w:val="nil"/>
            </w:tcBorders>
          </w:tcPr>
          <w:p w14:paraId="2A01C484"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w:t>
            </w:r>
          </w:p>
        </w:tc>
      </w:tr>
      <w:tr w:rsidR="0064316E" w:rsidRPr="00146AE2" w14:paraId="030C2F18" w14:textId="77777777" w:rsidTr="0064316E">
        <w:trPr>
          <w:trHeight w:val="851"/>
          <w:jc w:val="center"/>
        </w:trPr>
        <w:tc>
          <w:tcPr>
            <w:tcW w:w="567" w:type="dxa"/>
            <w:vMerge/>
          </w:tcPr>
          <w:p w14:paraId="509E59F7" w14:textId="77777777" w:rsidR="0064316E" w:rsidRPr="0064316E" w:rsidRDefault="0064316E" w:rsidP="00122782">
            <w:pPr>
              <w:spacing w:before="0"/>
              <w:rPr>
                <w:rFonts w:ascii="Calisto MT" w:hAnsi="Calisto MT"/>
                <w:sz w:val="18"/>
                <w:szCs w:val="18"/>
                <w:lang w:val="sv-SE"/>
              </w:rPr>
            </w:pPr>
          </w:p>
        </w:tc>
        <w:tc>
          <w:tcPr>
            <w:tcW w:w="1417" w:type="dxa"/>
            <w:vMerge/>
            <w:tcBorders>
              <w:top w:val="nil"/>
              <w:bottom w:val="nil"/>
            </w:tcBorders>
            <w:shd w:val="clear" w:color="auto" w:fill="auto"/>
          </w:tcPr>
          <w:p w14:paraId="65EE2D8C" w14:textId="77777777" w:rsidR="0064316E" w:rsidRPr="0064316E" w:rsidRDefault="0064316E" w:rsidP="00122782">
            <w:pPr>
              <w:spacing w:before="0"/>
              <w:jc w:val="left"/>
              <w:rPr>
                <w:rFonts w:ascii="Calisto MT" w:hAnsi="Calisto MT"/>
                <w:sz w:val="18"/>
                <w:szCs w:val="18"/>
                <w:lang w:val="sv-SE"/>
              </w:rPr>
            </w:pPr>
          </w:p>
        </w:tc>
        <w:tc>
          <w:tcPr>
            <w:tcW w:w="1276" w:type="dxa"/>
            <w:vMerge/>
            <w:tcBorders>
              <w:top w:val="nil"/>
              <w:bottom w:val="nil"/>
            </w:tcBorders>
            <w:shd w:val="clear" w:color="auto" w:fill="auto"/>
          </w:tcPr>
          <w:p w14:paraId="7D56455F" w14:textId="77777777" w:rsidR="0064316E" w:rsidRPr="0064316E" w:rsidRDefault="0064316E" w:rsidP="00122782">
            <w:pPr>
              <w:spacing w:before="0"/>
              <w:jc w:val="left"/>
              <w:rPr>
                <w:rFonts w:ascii="Calisto MT" w:hAnsi="Calisto MT"/>
                <w:sz w:val="18"/>
                <w:szCs w:val="18"/>
                <w:lang w:val="sv-SE"/>
              </w:rPr>
            </w:pPr>
          </w:p>
        </w:tc>
        <w:tc>
          <w:tcPr>
            <w:tcW w:w="1276" w:type="dxa"/>
            <w:tcBorders>
              <w:top w:val="nil"/>
              <w:bottom w:val="nil"/>
            </w:tcBorders>
          </w:tcPr>
          <w:p w14:paraId="71B054D4"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Disabilitas</w:t>
            </w:r>
          </w:p>
        </w:tc>
        <w:tc>
          <w:tcPr>
            <w:tcW w:w="2021" w:type="dxa"/>
            <w:tcBorders>
              <w:top w:val="nil"/>
              <w:bottom w:val="nil"/>
            </w:tcBorders>
          </w:tcPr>
          <w:p w14:paraId="14B34B05"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Standar penilaian yang berbeda (14), kesetaraan hak (22)</w:t>
            </w:r>
          </w:p>
        </w:tc>
        <w:tc>
          <w:tcPr>
            <w:tcW w:w="2120" w:type="dxa"/>
            <w:tcBorders>
              <w:top w:val="nil"/>
              <w:bottom w:val="nil"/>
            </w:tcBorders>
          </w:tcPr>
          <w:p w14:paraId="3D51B7FD"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Hambatan pengelolaan kelas (1), fasilitas (6), hambatan personal (1)</w:t>
            </w:r>
          </w:p>
        </w:tc>
      </w:tr>
      <w:tr w:rsidR="0064316E" w:rsidRPr="007C7F75" w14:paraId="64FE12C8" w14:textId="77777777" w:rsidTr="0064316E">
        <w:trPr>
          <w:trHeight w:val="831"/>
          <w:jc w:val="center"/>
        </w:trPr>
        <w:tc>
          <w:tcPr>
            <w:tcW w:w="567" w:type="dxa"/>
            <w:vMerge/>
          </w:tcPr>
          <w:p w14:paraId="05775874" w14:textId="77777777" w:rsidR="0064316E" w:rsidRPr="0064316E" w:rsidRDefault="0064316E" w:rsidP="00122782">
            <w:pPr>
              <w:spacing w:before="0"/>
              <w:rPr>
                <w:rFonts w:ascii="Calisto MT" w:hAnsi="Calisto MT"/>
                <w:sz w:val="18"/>
                <w:szCs w:val="18"/>
                <w:lang w:val="sv-SE"/>
              </w:rPr>
            </w:pPr>
          </w:p>
        </w:tc>
        <w:tc>
          <w:tcPr>
            <w:tcW w:w="1417" w:type="dxa"/>
            <w:vMerge/>
            <w:tcBorders>
              <w:top w:val="nil"/>
              <w:bottom w:val="nil"/>
            </w:tcBorders>
            <w:shd w:val="clear" w:color="auto" w:fill="auto"/>
          </w:tcPr>
          <w:p w14:paraId="4E891E7A" w14:textId="77777777" w:rsidR="0064316E" w:rsidRPr="0064316E" w:rsidRDefault="0064316E" w:rsidP="00122782">
            <w:pPr>
              <w:spacing w:before="0"/>
              <w:jc w:val="left"/>
              <w:rPr>
                <w:rFonts w:ascii="Calisto MT" w:hAnsi="Calisto MT"/>
                <w:sz w:val="18"/>
                <w:szCs w:val="18"/>
                <w:lang w:val="sv-SE"/>
              </w:rPr>
            </w:pPr>
          </w:p>
        </w:tc>
        <w:tc>
          <w:tcPr>
            <w:tcW w:w="1276" w:type="dxa"/>
            <w:tcBorders>
              <w:top w:val="nil"/>
              <w:bottom w:val="nil"/>
            </w:tcBorders>
            <w:shd w:val="clear" w:color="auto" w:fill="auto"/>
          </w:tcPr>
          <w:p w14:paraId="7D6311F6"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Kebijakan hak partisipasi</w:t>
            </w:r>
          </w:p>
        </w:tc>
        <w:tc>
          <w:tcPr>
            <w:tcW w:w="1276" w:type="dxa"/>
            <w:tcBorders>
              <w:top w:val="nil"/>
              <w:bottom w:val="nil"/>
            </w:tcBorders>
          </w:tcPr>
          <w:p w14:paraId="5CB5119D"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 xml:space="preserve">Peraturan </w:t>
            </w:r>
          </w:p>
        </w:tc>
        <w:tc>
          <w:tcPr>
            <w:tcW w:w="2021" w:type="dxa"/>
            <w:tcBorders>
              <w:top w:val="nil"/>
              <w:bottom w:val="nil"/>
            </w:tcBorders>
          </w:tcPr>
          <w:p w14:paraId="297188A2"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 xml:space="preserve">Terdapat peraturan baku (44) </w:t>
            </w:r>
          </w:p>
        </w:tc>
        <w:tc>
          <w:tcPr>
            <w:tcW w:w="2120" w:type="dxa"/>
            <w:tcBorders>
              <w:top w:val="nil"/>
              <w:bottom w:val="nil"/>
            </w:tcBorders>
          </w:tcPr>
          <w:p w14:paraId="0393651B"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Hambatan kebijakan inklusi (1)</w:t>
            </w:r>
          </w:p>
          <w:p w14:paraId="489A5D67" w14:textId="77777777" w:rsidR="0064316E" w:rsidRPr="0064316E" w:rsidRDefault="0064316E" w:rsidP="00122782">
            <w:pPr>
              <w:rPr>
                <w:rFonts w:ascii="Calisto MT" w:hAnsi="Calisto MT"/>
                <w:sz w:val="18"/>
                <w:szCs w:val="18"/>
                <w:lang w:val="sv-SE"/>
              </w:rPr>
            </w:pPr>
          </w:p>
        </w:tc>
      </w:tr>
      <w:tr w:rsidR="0064316E" w:rsidRPr="00146AE2" w14:paraId="3F5BF388" w14:textId="77777777" w:rsidTr="0064316E">
        <w:trPr>
          <w:trHeight w:val="998"/>
          <w:jc w:val="center"/>
        </w:trPr>
        <w:tc>
          <w:tcPr>
            <w:tcW w:w="567" w:type="dxa"/>
            <w:vMerge/>
            <w:tcBorders>
              <w:bottom w:val="nil"/>
            </w:tcBorders>
          </w:tcPr>
          <w:p w14:paraId="02235EBF" w14:textId="77777777" w:rsidR="0064316E" w:rsidRPr="0064316E" w:rsidRDefault="0064316E" w:rsidP="00122782">
            <w:pPr>
              <w:spacing w:before="0"/>
              <w:rPr>
                <w:rFonts w:ascii="Calisto MT" w:hAnsi="Calisto MT"/>
                <w:sz w:val="18"/>
                <w:szCs w:val="18"/>
                <w:lang w:val="sv-SE"/>
              </w:rPr>
            </w:pPr>
          </w:p>
        </w:tc>
        <w:tc>
          <w:tcPr>
            <w:tcW w:w="1417" w:type="dxa"/>
            <w:vMerge/>
            <w:tcBorders>
              <w:top w:val="nil"/>
              <w:bottom w:val="nil"/>
            </w:tcBorders>
            <w:shd w:val="clear" w:color="auto" w:fill="auto"/>
          </w:tcPr>
          <w:p w14:paraId="21F681EE" w14:textId="77777777" w:rsidR="0064316E" w:rsidRPr="0064316E" w:rsidRDefault="0064316E" w:rsidP="00122782">
            <w:pPr>
              <w:spacing w:before="0"/>
              <w:jc w:val="left"/>
              <w:rPr>
                <w:rFonts w:ascii="Calisto MT" w:hAnsi="Calisto MT"/>
                <w:sz w:val="18"/>
                <w:szCs w:val="18"/>
                <w:lang w:val="sv-SE"/>
              </w:rPr>
            </w:pPr>
          </w:p>
        </w:tc>
        <w:tc>
          <w:tcPr>
            <w:tcW w:w="1276" w:type="dxa"/>
            <w:tcBorders>
              <w:top w:val="nil"/>
              <w:bottom w:val="nil"/>
            </w:tcBorders>
            <w:shd w:val="clear" w:color="auto" w:fill="auto"/>
          </w:tcPr>
          <w:p w14:paraId="08E35851"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Sumber daya</w:t>
            </w:r>
          </w:p>
        </w:tc>
        <w:tc>
          <w:tcPr>
            <w:tcW w:w="1276" w:type="dxa"/>
            <w:tcBorders>
              <w:top w:val="nil"/>
              <w:bottom w:val="nil"/>
            </w:tcBorders>
          </w:tcPr>
          <w:p w14:paraId="14BFBF2B"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 xml:space="preserve">Sarana &amp; prasarana </w:t>
            </w:r>
          </w:p>
        </w:tc>
        <w:tc>
          <w:tcPr>
            <w:tcW w:w="2021" w:type="dxa"/>
            <w:tcBorders>
              <w:top w:val="nil"/>
              <w:bottom w:val="nil"/>
            </w:tcBorders>
          </w:tcPr>
          <w:p w14:paraId="1B15A0C0"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Sarana dan prasarana yang layak (35)</w:t>
            </w:r>
          </w:p>
        </w:tc>
        <w:tc>
          <w:tcPr>
            <w:tcW w:w="2120" w:type="dxa"/>
            <w:tcBorders>
              <w:top w:val="nil"/>
              <w:bottom w:val="nil"/>
            </w:tcBorders>
          </w:tcPr>
          <w:p w14:paraId="27C4AE35"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Sarana dan prasarana belum ramah disabilitas (10)</w:t>
            </w:r>
          </w:p>
        </w:tc>
      </w:tr>
      <w:tr w:rsidR="0064316E" w:rsidRPr="00146AE2" w14:paraId="42BD694B" w14:textId="77777777" w:rsidTr="0064316E">
        <w:trPr>
          <w:trHeight w:val="827"/>
          <w:jc w:val="center"/>
        </w:trPr>
        <w:tc>
          <w:tcPr>
            <w:tcW w:w="567" w:type="dxa"/>
            <w:vMerge w:val="restart"/>
            <w:tcBorders>
              <w:top w:val="nil"/>
            </w:tcBorders>
          </w:tcPr>
          <w:p w14:paraId="459A7ECC" w14:textId="77777777" w:rsidR="0064316E" w:rsidRPr="0064316E" w:rsidRDefault="0064316E" w:rsidP="00122782">
            <w:pPr>
              <w:spacing w:before="0"/>
              <w:rPr>
                <w:rFonts w:ascii="Calisto MT" w:hAnsi="Calisto MT"/>
                <w:sz w:val="18"/>
                <w:szCs w:val="18"/>
                <w:lang w:val="sv-SE"/>
              </w:rPr>
            </w:pPr>
            <w:r w:rsidRPr="0064316E">
              <w:rPr>
                <w:rFonts w:ascii="Calisto MT" w:hAnsi="Calisto MT"/>
                <w:sz w:val="18"/>
                <w:szCs w:val="18"/>
                <w:lang w:val="sv-SE"/>
              </w:rPr>
              <w:t>2.</w:t>
            </w:r>
          </w:p>
        </w:tc>
        <w:tc>
          <w:tcPr>
            <w:tcW w:w="1417" w:type="dxa"/>
            <w:vMerge w:val="restart"/>
            <w:tcBorders>
              <w:top w:val="nil"/>
            </w:tcBorders>
            <w:shd w:val="clear" w:color="auto" w:fill="auto"/>
          </w:tcPr>
          <w:p w14:paraId="52FF4282" w14:textId="77777777" w:rsidR="0064316E" w:rsidRPr="0064316E" w:rsidRDefault="0064316E" w:rsidP="00122782">
            <w:pPr>
              <w:spacing w:before="0"/>
              <w:jc w:val="left"/>
              <w:rPr>
                <w:rFonts w:ascii="Calisto MT" w:hAnsi="Calisto MT"/>
                <w:color w:val="000000"/>
                <w:sz w:val="18"/>
                <w:szCs w:val="18"/>
                <w:lang w:val="sv-SE"/>
              </w:rPr>
            </w:pPr>
            <w:proofErr w:type="spellStart"/>
            <w:r w:rsidRPr="0064316E">
              <w:rPr>
                <w:rFonts w:ascii="Calisto MT" w:hAnsi="Calisto MT"/>
                <w:sz w:val="18"/>
                <w:szCs w:val="18"/>
              </w:rPr>
              <w:t>Kebermanfaatan</w:t>
            </w:r>
            <w:proofErr w:type="spellEnd"/>
            <w:r w:rsidRPr="0064316E">
              <w:rPr>
                <w:rFonts w:ascii="Calisto MT" w:hAnsi="Calisto MT"/>
                <w:sz w:val="18"/>
                <w:szCs w:val="18"/>
              </w:rPr>
              <w:t xml:space="preserve"> program</w:t>
            </w:r>
          </w:p>
        </w:tc>
        <w:tc>
          <w:tcPr>
            <w:tcW w:w="1276" w:type="dxa"/>
            <w:vMerge w:val="restart"/>
            <w:tcBorders>
              <w:top w:val="nil"/>
            </w:tcBorders>
            <w:shd w:val="clear" w:color="auto" w:fill="auto"/>
          </w:tcPr>
          <w:p w14:paraId="25A74C5F"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Kesehatan</w:t>
            </w:r>
          </w:p>
        </w:tc>
        <w:tc>
          <w:tcPr>
            <w:tcW w:w="1276" w:type="dxa"/>
            <w:tcBorders>
              <w:top w:val="nil"/>
            </w:tcBorders>
          </w:tcPr>
          <w:p w14:paraId="1E299581"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Fisik</w:t>
            </w:r>
          </w:p>
        </w:tc>
        <w:tc>
          <w:tcPr>
            <w:tcW w:w="2021" w:type="dxa"/>
            <w:tcBorders>
              <w:top w:val="nil"/>
            </w:tcBorders>
          </w:tcPr>
          <w:p w14:paraId="3C594A28"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Perkembangan fisik sesuai dengan capaian kurikulum (44)</w:t>
            </w:r>
          </w:p>
        </w:tc>
        <w:tc>
          <w:tcPr>
            <w:tcW w:w="2120" w:type="dxa"/>
            <w:tcBorders>
              <w:top w:val="nil"/>
            </w:tcBorders>
          </w:tcPr>
          <w:p w14:paraId="487EC7A2"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Perkembangan fisik kurang tercapai (1)</w:t>
            </w:r>
          </w:p>
        </w:tc>
      </w:tr>
      <w:tr w:rsidR="0064316E" w:rsidRPr="00AD1623" w14:paraId="1DE0DBC2" w14:textId="77777777" w:rsidTr="0064316E">
        <w:trPr>
          <w:trHeight w:val="1561"/>
          <w:jc w:val="center"/>
        </w:trPr>
        <w:tc>
          <w:tcPr>
            <w:tcW w:w="567" w:type="dxa"/>
            <w:vMerge/>
          </w:tcPr>
          <w:p w14:paraId="777D3B1C"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1A518B59" w14:textId="77777777" w:rsidR="0064316E" w:rsidRPr="0064316E" w:rsidRDefault="0064316E" w:rsidP="00122782">
            <w:pPr>
              <w:spacing w:before="0"/>
              <w:jc w:val="left"/>
              <w:rPr>
                <w:rFonts w:ascii="Calisto MT" w:hAnsi="Calisto MT"/>
                <w:sz w:val="18"/>
                <w:szCs w:val="18"/>
                <w:lang w:val="sv-SE"/>
              </w:rPr>
            </w:pPr>
          </w:p>
        </w:tc>
        <w:tc>
          <w:tcPr>
            <w:tcW w:w="1276" w:type="dxa"/>
            <w:vMerge/>
            <w:shd w:val="clear" w:color="auto" w:fill="auto"/>
          </w:tcPr>
          <w:p w14:paraId="455B97A5" w14:textId="77777777" w:rsidR="0064316E" w:rsidRPr="0064316E" w:rsidRDefault="0064316E" w:rsidP="00122782">
            <w:pPr>
              <w:spacing w:before="0"/>
              <w:jc w:val="left"/>
              <w:rPr>
                <w:rFonts w:ascii="Calisto MT" w:hAnsi="Calisto MT"/>
                <w:sz w:val="18"/>
                <w:szCs w:val="18"/>
                <w:lang w:val="sv-SE"/>
              </w:rPr>
            </w:pPr>
          </w:p>
        </w:tc>
        <w:tc>
          <w:tcPr>
            <w:tcW w:w="1276" w:type="dxa"/>
            <w:tcBorders>
              <w:top w:val="nil"/>
            </w:tcBorders>
          </w:tcPr>
          <w:p w14:paraId="65D56543"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 xml:space="preserve">Mental </w:t>
            </w:r>
          </w:p>
        </w:tc>
        <w:tc>
          <w:tcPr>
            <w:tcW w:w="2021" w:type="dxa"/>
            <w:tcBorders>
              <w:top w:val="nil"/>
            </w:tcBorders>
          </w:tcPr>
          <w:p w14:paraId="469AB0C1"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Unsur pengembangan mental seperti keberanian dan percaya diri (15), kemandirian dan kedisiplinan (15), dan berbasis pada stress relief (15)</w:t>
            </w:r>
          </w:p>
        </w:tc>
        <w:tc>
          <w:tcPr>
            <w:tcW w:w="2120" w:type="dxa"/>
            <w:tcBorders>
              <w:top w:val="nil"/>
            </w:tcBorders>
          </w:tcPr>
          <w:p w14:paraId="377BA7CB"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w:t>
            </w:r>
          </w:p>
        </w:tc>
      </w:tr>
      <w:tr w:rsidR="0064316E" w:rsidRPr="0024693B" w14:paraId="5CC516F6" w14:textId="77777777" w:rsidTr="0064316E">
        <w:trPr>
          <w:trHeight w:val="1002"/>
          <w:jc w:val="center"/>
        </w:trPr>
        <w:tc>
          <w:tcPr>
            <w:tcW w:w="567" w:type="dxa"/>
            <w:vMerge/>
          </w:tcPr>
          <w:p w14:paraId="565B601E"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0A83330C" w14:textId="77777777" w:rsidR="0064316E" w:rsidRPr="0064316E" w:rsidRDefault="0064316E" w:rsidP="00122782">
            <w:pPr>
              <w:spacing w:before="0"/>
              <w:jc w:val="left"/>
              <w:rPr>
                <w:rFonts w:ascii="Calisto MT" w:hAnsi="Calisto MT"/>
                <w:sz w:val="18"/>
                <w:szCs w:val="18"/>
                <w:lang w:val="sv-SE"/>
              </w:rPr>
            </w:pPr>
          </w:p>
        </w:tc>
        <w:tc>
          <w:tcPr>
            <w:tcW w:w="1276" w:type="dxa"/>
            <w:vMerge w:val="restart"/>
            <w:tcBorders>
              <w:top w:val="nil"/>
            </w:tcBorders>
            <w:shd w:val="clear" w:color="auto" w:fill="auto"/>
          </w:tcPr>
          <w:p w14:paraId="664A0629"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Keterampilan</w:t>
            </w:r>
          </w:p>
        </w:tc>
        <w:tc>
          <w:tcPr>
            <w:tcW w:w="1276" w:type="dxa"/>
            <w:tcBorders>
              <w:top w:val="nil"/>
            </w:tcBorders>
          </w:tcPr>
          <w:p w14:paraId="40DB3294"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Kognitif</w:t>
            </w:r>
          </w:p>
        </w:tc>
        <w:tc>
          <w:tcPr>
            <w:tcW w:w="2021" w:type="dxa"/>
            <w:tcBorders>
              <w:top w:val="nil"/>
            </w:tcBorders>
          </w:tcPr>
          <w:p w14:paraId="34302FE2"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Penekanan pada konsep inkuiri (29), penguatan kognitif  melalui literasi fisik (15)</w:t>
            </w:r>
          </w:p>
        </w:tc>
        <w:tc>
          <w:tcPr>
            <w:tcW w:w="2120" w:type="dxa"/>
            <w:tcBorders>
              <w:top w:val="nil"/>
            </w:tcBorders>
          </w:tcPr>
          <w:p w14:paraId="37A9BBF5"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Belum ada pembiasaan literasi fisik pada anak (1)</w:t>
            </w:r>
          </w:p>
          <w:p w14:paraId="059C6B17" w14:textId="77777777" w:rsidR="0064316E" w:rsidRPr="0064316E" w:rsidRDefault="0064316E" w:rsidP="00122782">
            <w:pPr>
              <w:rPr>
                <w:rFonts w:ascii="Calisto MT" w:hAnsi="Calisto MT"/>
                <w:sz w:val="18"/>
                <w:szCs w:val="18"/>
                <w:lang w:val="sv-SE"/>
              </w:rPr>
            </w:pPr>
          </w:p>
        </w:tc>
      </w:tr>
      <w:tr w:rsidR="0064316E" w:rsidRPr="00AD1623" w14:paraId="1CDE73BB" w14:textId="77777777" w:rsidTr="0064316E">
        <w:trPr>
          <w:trHeight w:val="1426"/>
          <w:jc w:val="center"/>
        </w:trPr>
        <w:tc>
          <w:tcPr>
            <w:tcW w:w="567" w:type="dxa"/>
            <w:vMerge/>
          </w:tcPr>
          <w:p w14:paraId="100ED1C2"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2391B2A8" w14:textId="77777777" w:rsidR="0064316E" w:rsidRPr="0064316E" w:rsidRDefault="0064316E" w:rsidP="00122782">
            <w:pPr>
              <w:spacing w:before="0"/>
              <w:jc w:val="left"/>
              <w:rPr>
                <w:rFonts w:ascii="Calisto MT" w:hAnsi="Calisto MT"/>
                <w:sz w:val="18"/>
                <w:szCs w:val="18"/>
                <w:lang w:val="sv-SE"/>
              </w:rPr>
            </w:pPr>
          </w:p>
        </w:tc>
        <w:tc>
          <w:tcPr>
            <w:tcW w:w="1276" w:type="dxa"/>
            <w:vMerge/>
            <w:shd w:val="clear" w:color="auto" w:fill="auto"/>
          </w:tcPr>
          <w:p w14:paraId="277F8CD5" w14:textId="77777777" w:rsidR="0064316E" w:rsidRPr="0064316E" w:rsidRDefault="0064316E" w:rsidP="00122782">
            <w:pPr>
              <w:spacing w:before="0"/>
              <w:jc w:val="left"/>
              <w:rPr>
                <w:rFonts w:ascii="Calisto MT" w:hAnsi="Calisto MT"/>
                <w:sz w:val="18"/>
                <w:szCs w:val="18"/>
                <w:lang w:val="sv-SE"/>
              </w:rPr>
            </w:pPr>
          </w:p>
        </w:tc>
        <w:tc>
          <w:tcPr>
            <w:tcW w:w="1276" w:type="dxa"/>
            <w:tcBorders>
              <w:top w:val="nil"/>
            </w:tcBorders>
          </w:tcPr>
          <w:p w14:paraId="634A8AE3"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Sosial </w:t>
            </w:r>
          </w:p>
        </w:tc>
        <w:tc>
          <w:tcPr>
            <w:tcW w:w="2021" w:type="dxa"/>
            <w:tcBorders>
              <w:top w:val="nil"/>
            </w:tcBorders>
          </w:tcPr>
          <w:p w14:paraId="3DBF198E"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Pembiasan interaksi sosial dengan teman sebaya, guru, dan masyaraka di lingkungan sekolah (41)</w:t>
            </w:r>
          </w:p>
          <w:p w14:paraId="6744366C" w14:textId="77777777" w:rsidR="0064316E" w:rsidRPr="0064316E" w:rsidRDefault="0064316E" w:rsidP="00122782">
            <w:pPr>
              <w:spacing w:before="0"/>
              <w:jc w:val="left"/>
              <w:rPr>
                <w:rFonts w:ascii="Calisto MT" w:hAnsi="Calisto MT"/>
                <w:sz w:val="18"/>
                <w:szCs w:val="18"/>
                <w:lang w:val="sv-SE"/>
              </w:rPr>
            </w:pPr>
          </w:p>
        </w:tc>
        <w:tc>
          <w:tcPr>
            <w:tcW w:w="2120" w:type="dxa"/>
            <w:tcBorders>
              <w:top w:val="nil"/>
            </w:tcBorders>
          </w:tcPr>
          <w:p w14:paraId="3EE8C545"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Sistem pembelajaran kurang bisa mengakomodasi kebutuhan sosial (3), kemampuan bersosial siswa di masyarakat belum mampu diukur secara akurat (1)</w:t>
            </w:r>
          </w:p>
          <w:p w14:paraId="02E4C176" w14:textId="77777777" w:rsidR="0064316E" w:rsidRPr="0064316E" w:rsidRDefault="0064316E" w:rsidP="00122782">
            <w:pPr>
              <w:spacing w:before="0"/>
              <w:jc w:val="left"/>
              <w:rPr>
                <w:rFonts w:ascii="Calisto MT" w:hAnsi="Calisto MT"/>
                <w:sz w:val="18"/>
                <w:szCs w:val="18"/>
                <w:lang w:val="sv-SE"/>
              </w:rPr>
            </w:pPr>
          </w:p>
        </w:tc>
      </w:tr>
      <w:tr w:rsidR="0064316E" w:rsidRPr="00845386" w14:paraId="18A67311" w14:textId="77777777" w:rsidTr="0064316E">
        <w:trPr>
          <w:trHeight w:val="1154"/>
          <w:jc w:val="center"/>
        </w:trPr>
        <w:tc>
          <w:tcPr>
            <w:tcW w:w="567" w:type="dxa"/>
            <w:vMerge/>
          </w:tcPr>
          <w:p w14:paraId="1D0A98B1"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3A907AEB" w14:textId="77777777" w:rsidR="0064316E" w:rsidRPr="0064316E" w:rsidRDefault="0064316E" w:rsidP="00122782">
            <w:pPr>
              <w:spacing w:before="0"/>
              <w:jc w:val="left"/>
              <w:rPr>
                <w:rFonts w:ascii="Calisto MT" w:hAnsi="Calisto MT"/>
                <w:sz w:val="18"/>
                <w:szCs w:val="18"/>
                <w:lang w:val="sv-SE"/>
              </w:rPr>
            </w:pPr>
          </w:p>
        </w:tc>
        <w:tc>
          <w:tcPr>
            <w:tcW w:w="1276" w:type="dxa"/>
            <w:vMerge/>
            <w:shd w:val="clear" w:color="auto" w:fill="auto"/>
          </w:tcPr>
          <w:p w14:paraId="53C86130" w14:textId="77777777" w:rsidR="0064316E" w:rsidRPr="0064316E" w:rsidRDefault="0064316E" w:rsidP="00122782">
            <w:pPr>
              <w:spacing w:before="0"/>
              <w:jc w:val="left"/>
              <w:rPr>
                <w:rFonts w:ascii="Calisto MT" w:hAnsi="Calisto MT"/>
                <w:sz w:val="18"/>
                <w:szCs w:val="18"/>
                <w:lang w:val="sv-SE"/>
              </w:rPr>
            </w:pPr>
          </w:p>
        </w:tc>
        <w:tc>
          <w:tcPr>
            <w:tcW w:w="1276" w:type="dxa"/>
            <w:tcBorders>
              <w:top w:val="nil"/>
            </w:tcBorders>
          </w:tcPr>
          <w:p w14:paraId="494543C8"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Psikomotor </w:t>
            </w:r>
          </w:p>
        </w:tc>
        <w:tc>
          <w:tcPr>
            <w:tcW w:w="2021" w:type="dxa"/>
            <w:tcBorders>
              <w:top w:val="nil"/>
            </w:tcBorders>
          </w:tcPr>
          <w:p w14:paraId="0146253A"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Keterampilan fisik sudah sesuai dengan perkembangan fisiologis (43)</w:t>
            </w:r>
          </w:p>
        </w:tc>
        <w:tc>
          <w:tcPr>
            <w:tcW w:w="2120" w:type="dxa"/>
            <w:tcBorders>
              <w:top w:val="nil"/>
            </w:tcBorders>
          </w:tcPr>
          <w:p w14:paraId="7B0EE62D"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Keterbatasan waktu, sarana, dan prasarana (1), masih didapati keterampilan yang rendah (1)</w:t>
            </w:r>
          </w:p>
          <w:p w14:paraId="05A150D3" w14:textId="77777777" w:rsidR="0064316E" w:rsidRPr="0064316E" w:rsidRDefault="0064316E" w:rsidP="00122782">
            <w:pPr>
              <w:rPr>
                <w:rFonts w:ascii="Calisto MT" w:hAnsi="Calisto MT"/>
                <w:sz w:val="18"/>
                <w:szCs w:val="18"/>
                <w:lang w:val="sv-SE"/>
              </w:rPr>
            </w:pPr>
          </w:p>
        </w:tc>
      </w:tr>
      <w:tr w:rsidR="0064316E" w:rsidRPr="00AD1623" w14:paraId="6FF6317C" w14:textId="77777777" w:rsidTr="0064316E">
        <w:trPr>
          <w:trHeight w:val="2340"/>
          <w:jc w:val="center"/>
        </w:trPr>
        <w:tc>
          <w:tcPr>
            <w:tcW w:w="567" w:type="dxa"/>
            <w:vMerge/>
          </w:tcPr>
          <w:p w14:paraId="4499006F"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3CB27113" w14:textId="77777777" w:rsidR="0064316E" w:rsidRPr="0064316E" w:rsidRDefault="0064316E" w:rsidP="00122782">
            <w:pPr>
              <w:spacing w:before="0"/>
              <w:jc w:val="left"/>
              <w:rPr>
                <w:rFonts w:ascii="Calisto MT" w:hAnsi="Calisto MT"/>
                <w:sz w:val="18"/>
                <w:szCs w:val="18"/>
                <w:lang w:val="sv-SE"/>
              </w:rPr>
            </w:pPr>
          </w:p>
        </w:tc>
        <w:tc>
          <w:tcPr>
            <w:tcW w:w="1276" w:type="dxa"/>
            <w:tcBorders>
              <w:top w:val="nil"/>
            </w:tcBorders>
            <w:shd w:val="clear" w:color="auto" w:fill="auto"/>
          </w:tcPr>
          <w:p w14:paraId="24A8BC12"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Karakter</w:t>
            </w:r>
          </w:p>
        </w:tc>
        <w:tc>
          <w:tcPr>
            <w:tcW w:w="1276" w:type="dxa"/>
            <w:tcBorders>
              <w:top w:val="nil"/>
            </w:tcBorders>
          </w:tcPr>
          <w:p w14:paraId="7843D407"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 xml:space="preserve">Pola hidup sehat </w:t>
            </w:r>
          </w:p>
        </w:tc>
        <w:tc>
          <w:tcPr>
            <w:tcW w:w="2021" w:type="dxa"/>
            <w:tcBorders>
              <w:top w:val="nil"/>
            </w:tcBorders>
          </w:tcPr>
          <w:p w14:paraId="5D2A1A69"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Terdapat atribut pola hidup sehat seperti poster di sekolah, perilaku hidup sehat sudah termuat pada kurikulum (15), konsep bahaya narkoba dan pentingnya kesehatan sudah diberikan pada siswa (30).</w:t>
            </w:r>
          </w:p>
          <w:p w14:paraId="33441060" w14:textId="77777777" w:rsidR="0064316E" w:rsidRPr="0064316E" w:rsidRDefault="0064316E" w:rsidP="00122782">
            <w:pPr>
              <w:spacing w:before="0"/>
              <w:jc w:val="left"/>
              <w:rPr>
                <w:rFonts w:ascii="Calisto MT" w:hAnsi="Calisto MT"/>
                <w:sz w:val="18"/>
                <w:szCs w:val="18"/>
                <w:lang w:val="sv-SE"/>
              </w:rPr>
            </w:pPr>
          </w:p>
        </w:tc>
        <w:tc>
          <w:tcPr>
            <w:tcW w:w="2120" w:type="dxa"/>
            <w:tcBorders>
              <w:top w:val="nil"/>
            </w:tcBorders>
          </w:tcPr>
          <w:p w14:paraId="553511BC"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w:t>
            </w:r>
          </w:p>
        </w:tc>
      </w:tr>
      <w:tr w:rsidR="0064316E" w:rsidRPr="00AD1623" w14:paraId="3C114FF8" w14:textId="77777777" w:rsidTr="0064316E">
        <w:trPr>
          <w:trHeight w:val="1847"/>
          <w:jc w:val="center"/>
        </w:trPr>
        <w:tc>
          <w:tcPr>
            <w:tcW w:w="567" w:type="dxa"/>
            <w:vMerge w:val="restart"/>
          </w:tcPr>
          <w:p w14:paraId="52D55A3B" w14:textId="77777777" w:rsidR="0064316E" w:rsidRPr="0064316E" w:rsidRDefault="0064316E" w:rsidP="00122782">
            <w:pPr>
              <w:spacing w:before="0"/>
              <w:rPr>
                <w:rFonts w:ascii="Calisto MT" w:hAnsi="Calisto MT"/>
                <w:sz w:val="18"/>
                <w:szCs w:val="18"/>
                <w:lang w:val="sv-SE"/>
              </w:rPr>
            </w:pPr>
            <w:r w:rsidRPr="0064316E">
              <w:rPr>
                <w:rFonts w:ascii="Calisto MT" w:hAnsi="Calisto MT"/>
                <w:sz w:val="18"/>
                <w:szCs w:val="18"/>
                <w:lang w:val="sv-SE"/>
              </w:rPr>
              <w:t>3.</w:t>
            </w:r>
          </w:p>
        </w:tc>
        <w:tc>
          <w:tcPr>
            <w:tcW w:w="1417" w:type="dxa"/>
            <w:vMerge w:val="restart"/>
            <w:shd w:val="clear" w:color="auto" w:fill="auto"/>
          </w:tcPr>
          <w:p w14:paraId="5DF370C2"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Kontribusi stakeholder</w:t>
            </w:r>
          </w:p>
        </w:tc>
        <w:tc>
          <w:tcPr>
            <w:tcW w:w="1276" w:type="dxa"/>
            <w:vMerge w:val="restart"/>
            <w:shd w:val="clear" w:color="auto" w:fill="auto"/>
          </w:tcPr>
          <w:p w14:paraId="5F39AED2"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Keterlibatan</w:t>
            </w:r>
          </w:p>
        </w:tc>
        <w:tc>
          <w:tcPr>
            <w:tcW w:w="1276" w:type="dxa"/>
          </w:tcPr>
          <w:p w14:paraId="42F4A127"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Pembuatan visi strategis </w:t>
            </w:r>
          </w:p>
        </w:tc>
        <w:tc>
          <w:tcPr>
            <w:tcW w:w="2021" w:type="dxa"/>
          </w:tcPr>
          <w:p w14:paraId="3DD74077"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Adanya kontribusi stakeholder dalam pembuatan visi pendidikan jasmani yang unggul  (38)</w:t>
            </w:r>
          </w:p>
        </w:tc>
        <w:tc>
          <w:tcPr>
            <w:tcW w:w="2120" w:type="dxa"/>
          </w:tcPr>
          <w:p w14:paraId="05D0F345"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Belum ada pembuatan visi yang strategis tentang pendidikan jasmani yang unggul  (7)</w:t>
            </w:r>
          </w:p>
        </w:tc>
      </w:tr>
      <w:tr w:rsidR="0064316E" w:rsidRPr="00AD1623" w14:paraId="070EDB3D" w14:textId="77777777" w:rsidTr="0064316E">
        <w:trPr>
          <w:trHeight w:val="1424"/>
          <w:jc w:val="center"/>
        </w:trPr>
        <w:tc>
          <w:tcPr>
            <w:tcW w:w="567" w:type="dxa"/>
            <w:vMerge/>
          </w:tcPr>
          <w:p w14:paraId="7F35B5E1"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4A8F824E" w14:textId="77777777" w:rsidR="0064316E" w:rsidRPr="0064316E" w:rsidRDefault="0064316E" w:rsidP="00122782">
            <w:pPr>
              <w:spacing w:before="0"/>
              <w:jc w:val="left"/>
              <w:rPr>
                <w:rFonts w:ascii="Calisto MT" w:hAnsi="Calisto MT"/>
                <w:sz w:val="18"/>
                <w:szCs w:val="18"/>
                <w:lang w:val="sv-SE"/>
              </w:rPr>
            </w:pPr>
          </w:p>
        </w:tc>
        <w:tc>
          <w:tcPr>
            <w:tcW w:w="1276" w:type="dxa"/>
            <w:vMerge/>
            <w:shd w:val="clear" w:color="auto" w:fill="auto"/>
          </w:tcPr>
          <w:p w14:paraId="7E86D70E" w14:textId="77777777" w:rsidR="0064316E" w:rsidRPr="0064316E" w:rsidRDefault="0064316E" w:rsidP="00122782">
            <w:pPr>
              <w:spacing w:before="0"/>
              <w:jc w:val="left"/>
              <w:rPr>
                <w:rFonts w:ascii="Calisto MT" w:hAnsi="Calisto MT"/>
                <w:sz w:val="18"/>
                <w:szCs w:val="18"/>
                <w:lang w:val="sv-SE"/>
              </w:rPr>
            </w:pPr>
          </w:p>
        </w:tc>
        <w:tc>
          <w:tcPr>
            <w:tcW w:w="1276" w:type="dxa"/>
          </w:tcPr>
          <w:p w14:paraId="15F5236F"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Pembuatan kebijakan  </w:t>
            </w:r>
          </w:p>
        </w:tc>
        <w:tc>
          <w:tcPr>
            <w:tcW w:w="2021" w:type="dxa"/>
          </w:tcPr>
          <w:p w14:paraId="785D09CD"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Adanya kontribusi stakeholder dalam pembuatan program mitra, dan kebijakan pelaksanaan pendidikan jasmani (40)</w:t>
            </w:r>
          </w:p>
          <w:p w14:paraId="244DEB52" w14:textId="77777777" w:rsidR="0064316E" w:rsidRPr="0064316E" w:rsidRDefault="0064316E" w:rsidP="00122782">
            <w:pPr>
              <w:spacing w:before="0"/>
              <w:jc w:val="left"/>
              <w:rPr>
                <w:rFonts w:ascii="Calisto MT" w:hAnsi="Calisto MT"/>
                <w:sz w:val="18"/>
                <w:szCs w:val="18"/>
                <w:lang w:val="sv-SE"/>
              </w:rPr>
            </w:pPr>
          </w:p>
        </w:tc>
        <w:tc>
          <w:tcPr>
            <w:tcW w:w="2120" w:type="dxa"/>
          </w:tcPr>
          <w:p w14:paraId="5C49675A"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Stakeholder belum terlibat secara langsung (5)</w:t>
            </w:r>
          </w:p>
        </w:tc>
      </w:tr>
      <w:tr w:rsidR="0064316E" w:rsidRPr="00AD1623" w14:paraId="592970AF" w14:textId="77777777" w:rsidTr="0064316E">
        <w:trPr>
          <w:trHeight w:val="743"/>
          <w:jc w:val="center"/>
        </w:trPr>
        <w:tc>
          <w:tcPr>
            <w:tcW w:w="567" w:type="dxa"/>
            <w:vMerge/>
          </w:tcPr>
          <w:p w14:paraId="5FFD6A15"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17DB86F1" w14:textId="77777777" w:rsidR="0064316E" w:rsidRPr="0064316E" w:rsidRDefault="0064316E" w:rsidP="00122782">
            <w:pPr>
              <w:spacing w:before="0"/>
              <w:jc w:val="left"/>
              <w:rPr>
                <w:rFonts w:ascii="Calisto MT" w:hAnsi="Calisto MT"/>
                <w:sz w:val="18"/>
                <w:szCs w:val="18"/>
                <w:lang w:val="sv-SE"/>
              </w:rPr>
            </w:pPr>
          </w:p>
        </w:tc>
        <w:tc>
          <w:tcPr>
            <w:tcW w:w="1276" w:type="dxa"/>
            <w:vMerge/>
            <w:shd w:val="clear" w:color="auto" w:fill="auto"/>
          </w:tcPr>
          <w:p w14:paraId="5BD480D3" w14:textId="77777777" w:rsidR="0064316E" w:rsidRPr="0064316E" w:rsidRDefault="0064316E" w:rsidP="00122782">
            <w:pPr>
              <w:spacing w:before="0"/>
              <w:jc w:val="left"/>
              <w:rPr>
                <w:rFonts w:ascii="Calisto MT" w:hAnsi="Calisto MT"/>
                <w:sz w:val="18"/>
                <w:szCs w:val="18"/>
                <w:lang w:val="sv-SE"/>
              </w:rPr>
            </w:pPr>
          </w:p>
        </w:tc>
        <w:tc>
          <w:tcPr>
            <w:tcW w:w="1276" w:type="dxa"/>
          </w:tcPr>
          <w:p w14:paraId="025EFE1D"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Pengadaan sarana &amp; prasarana</w:t>
            </w:r>
          </w:p>
        </w:tc>
        <w:tc>
          <w:tcPr>
            <w:tcW w:w="2021" w:type="dxa"/>
          </w:tcPr>
          <w:p w14:paraId="114761C0"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Peran stakeholder dalam pengadaan fasilitas sudah baik dan layak (36)</w:t>
            </w:r>
          </w:p>
        </w:tc>
        <w:tc>
          <w:tcPr>
            <w:tcW w:w="2120" w:type="dxa"/>
          </w:tcPr>
          <w:p w14:paraId="7A7DB39A"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 xml:space="preserve">Peran stakeholder dalam pengadaan sarana dan prasarana belum </w:t>
            </w:r>
            <w:r w:rsidRPr="0064316E">
              <w:rPr>
                <w:rFonts w:ascii="Calisto MT" w:hAnsi="Calisto MT"/>
                <w:sz w:val="18"/>
                <w:szCs w:val="18"/>
                <w:lang w:val="sv-SE"/>
              </w:rPr>
              <w:lastRenderedPageBreak/>
              <w:t>diutamakan hingga pada taraf unggul (9)</w:t>
            </w:r>
          </w:p>
          <w:p w14:paraId="43601C46" w14:textId="77777777" w:rsidR="0064316E" w:rsidRPr="0064316E" w:rsidRDefault="0064316E" w:rsidP="00122782">
            <w:pPr>
              <w:spacing w:before="0"/>
              <w:jc w:val="left"/>
              <w:rPr>
                <w:rFonts w:ascii="Calisto MT" w:hAnsi="Calisto MT"/>
                <w:sz w:val="18"/>
                <w:szCs w:val="18"/>
                <w:lang w:val="sv-SE"/>
              </w:rPr>
            </w:pPr>
          </w:p>
        </w:tc>
      </w:tr>
      <w:tr w:rsidR="0064316E" w:rsidRPr="00AD1623" w14:paraId="6BE6FA9C" w14:textId="77777777" w:rsidTr="0064316E">
        <w:trPr>
          <w:trHeight w:val="2255"/>
          <w:jc w:val="center"/>
        </w:trPr>
        <w:tc>
          <w:tcPr>
            <w:tcW w:w="567" w:type="dxa"/>
            <w:tcBorders>
              <w:bottom w:val="nil"/>
            </w:tcBorders>
          </w:tcPr>
          <w:p w14:paraId="25D4DFD0" w14:textId="77777777" w:rsidR="0064316E" w:rsidRPr="0064316E" w:rsidRDefault="0064316E" w:rsidP="00122782">
            <w:pPr>
              <w:spacing w:before="0"/>
              <w:rPr>
                <w:rFonts w:ascii="Calisto MT" w:hAnsi="Calisto MT"/>
                <w:sz w:val="18"/>
                <w:szCs w:val="18"/>
                <w:lang w:val="sv-SE"/>
              </w:rPr>
            </w:pPr>
            <w:r w:rsidRPr="0064316E">
              <w:rPr>
                <w:rFonts w:ascii="Calisto MT" w:hAnsi="Calisto MT"/>
                <w:sz w:val="18"/>
                <w:szCs w:val="18"/>
                <w:lang w:val="sv-SE"/>
              </w:rPr>
              <w:lastRenderedPageBreak/>
              <w:t>4.</w:t>
            </w:r>
          </w:p>
        </w:tc>
        <w:tc>
          <w:tcPr>
            <w:tcW w:w="1417" w:type="dxa"/>
            <w:tcBorders>
              <w:bottom w:val="nil"/>
            </w:tcBorders>
            <w:shd w:val="clear" w:color="auto" w:fill="auto"/>
          </w:tcPr>
          <w:p w14:paraId="729AFA2A"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 xml:space="preserve">Fungsi inspiratif    </w:t>
            </w:r>
          </w:p>
        </w:tc>
        <w:tc>
          <w:tcPr>
            <w:tcW w:w="1276" w:type="dxa"/>
            <w:tcBorders>
              <w:bottom w:val="nil"/>
            </w:tcBorders>
            <w:shd w:val="clear" w:color="auto" w:fill="auto"/>
          </w:tcPr>
          <w:p w14:paraId="3E7C01AA"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Kesiapan diri</w:t>
            </w:r>
          </w:p>
        </w:tc>
        <w:tc>
          <w:tcPr>
            <w:tcW w:w="1276" w:type="dxa"/>
            <w:tcBorders>
              <w:bottom w:val="nil"/>
            </w:tcBorders>
          </w:tcPr>
          <w:p w14:paraId="36589985"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Karakter </w:t>
            </w:r>
          </w:p>
        </w:tc>
        <w:tc>
          <w:tcPr>
            <w:tcW w:w="2021" w:type="dxa"/>
            <w:tcBorders>
              <w:bottom w:val="nil"/>
            </w:tcBorders>
          </w:tcPr>
          <w:p w14:paraId="00065717" w14:textId="77777777" w:rsidR="0064316E" w:rsidRPr="0064316E" w:rsidRDefault="0064316E" w:rsidP="00122782">
            <w:pPr>
              <w:spacing w:before="0"/>
              <w:jc w:val="left"/>
              <w:rPr>
                <w:rFonts w:ascii="Calisto MT" w:hAnsi="Calisto MT"/>
                <w:sz w:val="18"/>
                <w:szCs w:val="18"/>
                <w:lang w:val="sv-SE"/>
              </w:rPr>
            </w:pPr>
            <w:bookmarkStart w:id="2" w:name="_Hlk202920684"/>
            <w:r w:rsidRPr="0064316E">
              <w:rPr>
                <w:rFonts w:ascii="Calisto MT" w:hAnsi="Calisto MT"/>
                <w:sz w:val="18"/>
                <w:szCs w:val="18"/>
                <w:lang w:val="sv-SE"/>
              </w:rPr>
              <w:t>Penanaman karakter positif melalui interaksi teman sebaya, guru, dan masyarakat sekolah yang baik, serta pengondisian siswa secara sportif, tanggung jawab, jujur, dan disiplin pada aktivitas fisik</w:t>
            </w:r>
            <w:bookmarkEnd w:id="2"/>
            <w:r w:rsidRPr="0064316E">
              <w:rPr>
                <w:rFonts w:ascii="Calisto MT" w:hAnsi="Calisto MT"/>
                <w:sz w:val="18"/>
                <w:szCs w:val="18"/>
                <w:lang w:val="sv-SE"/>
              </w:rPr>
              <w:t xml:space="preserve"> (45) </w:t>
            </w:r>
          </w:p>
          <w:p w14:paraId="0E47C3AF" w14:textId="77777777" w:rsidR="0064316E" w:rsidRPr="0064316E" w:rsidRDefault="0064316E" w:rsidP="00122782">
            <w:pPr>
              <w:spacing w:before="0"/>
              <w:jc w:val="left"/>
              <w:rPr>
                <w:rFonts w:ascii="Calisto MT" w:hAnsi="Calisto MT"/>
                <w:sz w:val="18"/>
                <w:szCs w:val="18"/>
                <w:lang w:val="sv-SE"/>
              </w:rPr>
            </w:pPr>
          </w:p>
        </w:tc>
        <w:tc>
          <w:tcPr>
            <w:tcW w:w="2120" w:type="dxa"/>
            <w:tcBorders>
              <w:bottom w:val="nil"/>
            </w:tcBorders>
          </w:tcPr>
          <w:p w14:paraId="722AB823"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w:t>
            </w:r>
          </w:p>
        </w:tc>
      </w:tr>
      <w:tr w:rsidR="0064316E" w:rsidRPr="0016047F" w14:paraId="1DC86EBB" w14:textId="77777777" w:rsidTr="0064316E">
        <w:trPr>
          <w:trHeight w:val="942"/>
          <w:jc w:val="center"/>
        </w:trPr>
        <w:tc>
          <w:tcPr>
            <w:tcW w:w="567" w:type="dxa"/>
            <w:vMerge w:val="restart"/>
            <w:tcBorders>
              <w:top w:val="nil"/>
              <w:bottom w:val="nil"/>
            </w:tcBorders>
          </w:tcPr>
          <w:p w14:paraId="17293008" w14:textId="77777777" w:rsidR="0064316E" w:rsidRPr="0064316E" w:rsidRDefault="0064316E" w:rsidP="00122782">
            <w:pPr>
              <w:spacing w:before="0"/>
              <w:rPr>
                <w:rFonts w:ascii="Calisto MT" w:hAnsi="Calisto MT"/>
                <w:sz w:val="18"/>
                <w:szCs w:val="18"/>
                <w:lang w:val="sv-SE"/>
              </w:rPr>
            </w:pPr>
            <w:r w:rsidRPr="0064316E">
              <w:rPr>
                <w:rFonts w:ascii="Calisto MT" w:hAnsi="Calisto MT"/>
                <w:sz w:val="18"/>
                <w:szCs w:val="18"/>
                <w:lang w:val="sv-SE"/>
              </w:rPr>
              <w:t>5.</w:t>
            </w:r>
          </w:p>
        </w:tc>
        <w:tc>
          <w:tcPr>
            <w:tcW w:w="1417" w:type="dxa"/>
            <w:vMerge w:val="restart"/>
            <w:tcBorders>
              <w:top w:val="nil"/>
              <w:bottom w:val="nil"/>
            </w:tcBorders>
            <w:shd w:val="clear" w:color="auto" w:fill="auto"/>
          </w:tcPr>
          <w:p w14:paraId="2224520A"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Keberlanjutan program</w:t>
            </w:r>
          </w:p>
        </w:tc>
        <w:tc>
          <w:tcPr>
            <w:tcW w:w="1276" w:type="dxa"/>
            <w:vMerge w:val="restart"/>
            <w:tcBorders>
              <w:top w:val="nil"/>
              <w:bottom w:val="nil"/>
            </w:tcBorders>
            <w:shd w:val="clear" w:color="auto" w:fill="auto"/>
          </w:tcPr>
          <w:p w14:paraId="666C06C6"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 xml:space="preserve">Keberlanjutan </w:t>
            </w:r>
          </w:p>
        </w:tc>
        <w:tc>
          <w:tcPr>
            <w:tcW w:w="1276" w:type="dxa"/>
            <w:tcBorders>
              <w:top w:val="nil"/>
              <w:bottom w:val="nil"/>
            </w:tcBorders>
          </w:tcPr>
          <w:p w14:paraId="594CBC29"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Event olahraga </w:t>
            </w:r>
          </w:p>
        </w:tc>
        <w:tc>
          <w:tcPr>
            <w:tcW w:w="2021" w:type="dxa"/>
            <w:tcBorders>
              <w:top w:val="nil"/>
              <w:bottom w:val="nil"/>
            </w:tcBorders>
          </w:tcPr>
          <w:p w14:paraId="6FDB4FC0" w14:textId="77777777" w:rsidR="0064316E" w:rsidRPr="0064316E" w:rsidRDefault="0064316E" w:rsidP="00122782">
            <w:pPr>
              <w:spacing w:before="0"/>
              <w:jc w:val="left"/>
              <w:rPr>
                <w:rFonts w:ascii="Calisto MT" w:hAnsi="Calisto MT"/>
                <w:sz w:val="18"/>
                <w:szCs w:val="18"/>
              </w:rPr>
            </w:pPr>
            <w:r w:rsidRPr="0064316E">
              <w:rPr>
                <w:rFonts w:ascii="Calisto MT" w:hAnsi="Calisto MT"/>
                <w:sz w:val="18"/>
                <w:szCs w:val="18"/>
                <w:lang w:val="sv-SE"/>
              </w:rPr>
              <w:t>Telah ada keterlibatan sekolah terhadap event O2SN (28)</w:t>
            </w:r>
            <w:r w:rsidRPr="0064316E">
              <w:rPr>
                <w:rFonts w:ascii="Calisto MT" w:hAnsi="Calisto MT"/>
                <w:sz w:val="18"/>
                <w:szCs w:val="18"/>
              </w:rPr>
              <w:t xml:space="preserve">, telah ada </w:t>
            </w:r>
            <w:proofErr w:type="spellStart"/>
            <w:r w:rsidRPr="0064316E">
              <w:rPr>
                <w:rFonts w:ascii="Calisto MT" w:hAnsi="Calisto MT"/>
                <w:sz w:val="18"/>
                <w:szCs w:val="18"/>
              </w:rPr>
              <w:t>classmeeting</w:t>
            </w:r>
            <w:proofErr w:type="spellEnd"/>
            <w:r w:rsidRPr="0064316E">
              <w:rPr>
                <w:rFonts w:ascii="Calisto MT" w:hAnsi="Calisto MT"/>
                <w:sz w:val="18"/>
                <w:szCs w:val="18"/>
              </w:rPr>
              <w:t xml:space="preserve"> dan event nasional lain (11)</w:t>
            </w:r>
          </w:p>
          <w:p w14:paraId="4B8F774E" w14:textId="77777777" w:rsidR="0064316E" w:rsidRPr="0064316E" w:rsidRDefault="0064316E" w:rsidP="00122782">
            <w:pPr>
              <w:spacing w:before="0"/>
              <w:jc w:val="left"/>
              <w:rPr>
                <w:rFonts w:ascii="Calisto MT" w:hAnsi="Calisto MT"/>
                <w:sz w:val="18"/>
                <w:szCs w:val="18"/>
                <w:lang w:val="sv-SE"/>
              </w:rPr>
            </w:pPr>
          </w:p>
        </w:tc>
        <w:tc>
          <w:tcPr>
            <w:tcW w:w="2120" w:type="dxa"/>
            <w:tcBorders>
              <w:top w:val="nil"/>
              <w:bottom w:val="nil"/>
            </w:tcBorders>
          </w:tcPr>
          <w:p w14:paraId="59E0BD3B"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Belum ada perencanaan penyelenggaraan event (2), anggaran dana yang terbatas (4)</w:t>
            </w:r>
          </w:p>
        </w:tc>
      </w:tr>
      <w:tr w:rsidR="0064316E" w:rsidRPr="0016047F" w14:paraId="133E80A1" w14:textId="77777777" w:rsidTr="0064316E">
        <w:trPr>
          <w:trHeight w:val="559"/>
          <w:jc w:val="center"/>
        </w:trPr>
        <w:tc>
          <w:tcPr>
            <w:tcW w:w="567" w:type="dxa"/>
            <w:vMerge/>
            <w:tcBorders>
              <w:top w:val="nil"/>
              <w:bottom w:val="nil"/>
            </w:tcBorders>
          </w:tcPr>
          <w:p w14:paraId="2D4CBDCC" w14:textId="77777777" w:rsidR="0064316E" w:rsidRPr="0064316E" w:rsidRDefault="0064316E" w:rsidP="00122782">
            <w:pPr>
              <w:spacing w:before="0"/>
              <w:rPr>
                <w:rFonts w:ascii="Calisto MT" w:hAnsi="Calisto MT"/>
                <w:sz w:val="18"/>
                <w:szCs w:val="18"/>
                <w:lang w:val="sv-SE"/>
              </w:rPr>
            </w:pPr>
          </w:p>
        </w:tc>
        <w:tc>
          <w:tcPr>
            <w:tcW w:w="1417" w:type="dxa"/>
            <w:vMerge/>
            <w:tcBorders>
              <w:top w:val="nil"/>
              <w:bottom w:val="nil"/>
            </w:tcBorders>
            <w:shd w:val="clear" w:color="auto" w:fill="auto"/>
          </w:tcPr>
          <w:p w14:paraId="741A07FC" w14:textId="77777777" w:rsidR="0064316E" w:rsidRPr="0064316E" w:rsidRDefault="0064316E" w:rsidP="00122782">
            <w:pPr>
              <w:spacing w:before="0"/>
              <w:jc w:val="left"/>
              <w:rPr>
                <w:rFonts w:ascii="Calisto MT" w:hAnsi="Calisto MT"/>
                <w:sz w:val="18"/>
                <w:szCs w:val="18"/>
                <w:lang w:val="sv-SE"/>
              </w:rPr>
            </w:pPr>
          </w:p>
        </w:tc>
        <w:tc>
          <w:tcPr>
            <w:tcW w:w="1276" w:type="dxa"/>
            <w:vMerge/>
            <w:tcBorders>
              <w:top w:val="nil"/>
              <w:bottom w:val="nil"/>
            </w:tcBorders>
            <w:shd w:val="clear" w:color="auto" w:fill="auto"/>
          </w:tcPr>
          <w:p w14:paraId="25B13653" w14:textId="77777777" w:rsidR="0064316E" w:rsidRPr="0064316E" w:rsidRDefault="0064316E" w:rsidP="00122782">
            <w:pPr>
              <w:spacing w:before="0"/>
              <w:jc w:val="left"/>
              <w:rPr>
                <w:rFonts w:ascii="Calisto MT" w:hAnsi="Calisto MT"/>
                <w:color w:val="000000"/>
                <w:sz w:val="18"/>
                <w:szCs w:val="18"/>
                <w:lang w:val="sv-SE"/>
              </w:rPr>
            </w:pPr>
          </w:p>
        </w:tc>
        <w:tc>
          <w:tcPr>
            <w:tcW w:w="1276" w:type="dxa"/>
            <w:tcBorders>
              <w:top w:val="nil"/>
              <w:bottom w:val="nil"/>
            </w:tcBorders>
          </w:tcPr>
          <w:p w14:paraId="1A7DD7A9"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Pengelolaan limbah pasca event</w:t>
            </w:r>
          </w:p>
        </w:tc>
        <w:tc>
          <w:tcPr>
            <w:tcW w:w="2021" w:type="dxa"/>
            <w:tcBorders>
              <w:top w:val="nil"/>
              <w:bottom w:val="nil"/>
            </w:tcBorders>
          </w:tcPr>
          <w:p w14:paraId="68C72923" w14:textId="77777777" w:rsidR="0064316E" w:rsidRPr="0064316E" w:rsidRDefault="0064316E" w:rsidP="00122782">
            <w:pPr>
              <w:spacing w:before="0"/>
              <w:jc w:val="left"/>
              <w:rPr>
                <w:rFonts w:ascii="Calisto MT" w:hAnsi="Calisto MT"/>
                <w:sz w:val="18"/>
                <w:szCs w:val="18"/>
              </w:rPr>
            </w:pPr>
            <w:r w:rsidRPr="0064316E">
              <w:rPr>
                <w:rFonts w:ascii="Calisto MT" w:hAnsi="Calisto MT"/>
                <w:sz w:val="18"/>
                <w:szCs w:val="18"/>
              </w:rPr>
              <w:t>Penerapan konsep reduce, reuse, recycle (45)</w:t>
            </w:r>
          </w:p>
          <w:p w14:paraId="3B820D24" w14:textId="77777777" w:rsidR="0064316E" w:rsidRPr="0064316E" w:rsidRDefault="0064316E" w:rsidP="00122782">
            <w:pPr>
              <w:spacing w:before="0"/>
              <w:jc w:val="left"/>
              <w:rPr>
                <w:rFonts w:ascii="Calisto MT" w:hAnsi="Calisto MT"/>
                <w:sz w:val="18"/>
                <w:szCs w:val="18"/>
              </w:rPr>
            </w:pPr>
          </w:p>
        </w:tc>
        <w:tc>
          <w:tcPr>
            <w:tcW w:w="2120" w:type="dxa"/>
            <w:tcBorders>
              <w:top w:val="nil"/>
              <w:bottom w:val="nil"/>
            </w:tcBorders>
          </w:tcPr>
          <w:p w14:paraId="073EE75D" w14:textId="77777777" w:rsidR="0064316E" w:rsidRPr="0064316E" w:rsidRDefault="0064316E" w:rsidP="00122782">
            <w:pPr>
              <w:spacing w:before="0"/>
              <w:jc w:val="left"/>
              <w:rPr>
                <w:rFonts w:ascii="Calisto MT" w:hAnsi="Calisto MT"/>
                <w:sz w:val="18"/>
                <w:szCs w:val="18"/>
              </w:rPr>
            </w:pPr>
            <w:r w:rsidRPr="0064316E">
              <w:rPr>
                <w:rFonts w:ascii="Calisto MT" w:hAnsi="Calisto MT"/>
                <w:sz w:val="18"/>
                <w:szCs w:val="18"/>
              </w:rPr>
              <w:t>-</w:t>
            </w:r>
          </w:p>
        </w:tc>
      </w:tr>
      <w:tr w:rsidR="0064316E" w:rsidRPr="00C67DA3" w14:paraId="10AA655C" w14:textId="77777777" w:rsidTr="0064316E">
        <w:trPr>
          <w:trHeight w:val="889"/>
          <w:jc w:val="center"/>
        </w:trPr>
        <w:tc>
          <w:tcPr>
            <w:tcW w:w="567" w:type="dxa"/>
            <w:vMerge w:val="restart"/>
            <w:tcBorders>
              <w:top w:val="nil"/>
            </w:tcBorders>
          </w:tcPr>
          <w:p w14:paraId="5FD9498C" w14:textId="77777777" w:rsidR="0064316E" w:rsidRPr="0064316E" w:rsidRDefault="0064316E" w:rsidP="00122782">
            <w:pPr>
              <w:spacing w:before="0"/>
              <w:rPr>
                <w:rFonts w:ascii="Calisto MT" w:hAnsi="Calisto MT"/>
                <w:sz w:val="18"/>
                <w:szCs w:val="18"/>
                <w:lang w:val="sv-SE"/>
              </w:rPr>
            </w:pPr>
            <w:r w:rsidRPr="0064316E">
              <w:rPr>
                <w:rFonts w:ascii="Calisto MT" w:hAnsi="Calisto MT"/>
                <w:sz w:val="18"/>
                <w:szCs w:val="18"/>
                <w:lang w:val="sv-SE"/>
              </w:rPr>
              <w:t>6.</w:t>
            </w:r>
          </w:p>
        </w:tc>
        <w:tc>
          <w:tcPr>
            <w:tcW w:w="1417" w:type="dxa"/>
            <w:vMerge w:val="restart"/>
            <w:tcBorders>
              <w:top w:val="nil"/>
            </w:tcBorders>
            <w:shd w:val="clear" w:color="auto" w:fill="auto"/>
          </w:tcPr>
          <w:p w14:paraId="2DE76E61"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 xml:space="preserve">Kajian </w:t>
            </w:r>
            <w:proofErr w:type="spellStart"/>
            <w:r w:rsidRPr="0064316E">
              <w:rPr>
                <w:rFonts w:ascii="Calisto MT" w:hAnsi="Calisto MT"/>
                <w:sz w:val="18"/>
                <w:szCs w:val="18"/>
              </w:rPr>
              <w:t>teoritik</w:t>
            </w:r>
            <w:proofErr w:type="spellEnd"/>
            <w:r w:rsidRPr="0064316E">
              <w:rPr>
                <w:rFonts w:ascii="Calisto MT" w:hAnsi="Calisto MT"/>
                <w:sz w:val="18"/>
                <w:szCs w:val="18"/>
              </w:rPr>
              <w:t xml:space="preserve"> </w:t>
            </w:r>
          </w:p>
        </w:tc>
        <w:tc>
          <w:tcPr>
            <w:tcW w:w="1276" w:type="dxa"/>
            <w:vMerge w:val="restart"/>
            <w:tcBorders>
              <w:top w:val="nil"/>
            </w:tcBorders>
            <w:shd w:val="clear" w:color="auto" w:fill="auto"/>
          </w:tcPr>
          <w:p w14:paraId="22825602"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Peran ahli</w:t>
            </w:r>
          </w:p>
        </w:tc>
        <w:tc>
          <w:tcPr>
            <w:tcW w:w="1276" w:type="dxa"/>
            <w:tcBorders>
              <w:top w:val="nil"/>
            </w:tcBorders>
          </w:tcPr>
          <w:p w14:paraId="7D2A4B3D"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Perancangan perangkat pembelajaran</w:t>
            </w:r>
          </w:p>
        </w:tc>
        <w:tc>
          <w:tcPr>
            <w:tcW w:w="2021" w:type="dxa"/>
            <w:tcBorders>
              <w:top w:val="nil"/>
            </w:tcBorders>
          </w:tcPr>
          <w:p w14:paraId="5A954C0F"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Peran ahli dimunculkan melalui kegiatan MGMP dalam perancangan perangkat ajar (39)</w:t>
            </w:r>
          </w:p>
          <w:p w14:paraId="2C93C0AE" w14:textId="77777777" w:rsidR="0064316E" w:rsidRPr="0064316E" w:rsidRDefault="0064316E" w:rsidP="00122782">
            <w:pPr>
              <w:spacing w:before="0"/>
              <w:jc w:val="left"/>
              <w:rPr>
                <w:rFonts w:ascii="Calisto MT" w:hAnsi="Calisto MT"/>
                <w:sz w:val="18"/>
                <w:szCs w:val="18"/>
                <w:lang w:val="sv-SE"/>
              </w:rPr>
            </w:pPr>
          </w:p>
        </w:tc>
        <w:tc>
          <w:tcPr>
            <w:tcW w:w="2120" w:type="dxa"/>
            <w:tcBorders>
              <w:top w:val="nil"/>
            </w:tcBorders>
          </w:tcPr>
          <w:p w14:paraId="3B5395E6"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Belum ada keterlibatan pakar atau ahli dalam perancangan perangkat ajar (6)</w:t>
            </w:r>
          </w:p>
        </w:tc>
      </w:tr>
      <w:tr w:rsidR="0064316E" w:rsidRPr="00AD1623" w14:paraId="73210006" w14:textId="77777777" w:rsidTr="0064316E">
        <w:trPr>
          <w:trHeight w:val="914"/>
          <w:jc w:val="center"/>
        </w:trPr>
        <w:tc>
          <w:tcPr>
            <w:tcW w:w="567" w:type="dxa"/>
            <w:vMerge/>
          </w:tcPr>
          <w:p w14:paraId="73FF34DD"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209BF634" w14:textId="77777777" w:rsidR="0064316E" w:rsidRPr="0064316E" w:rsidRDefault="0064316E" w:rsidP="00122782">
            <w:pPr>
              <w:spacing w:before="0"/>
              <w:jc w:val="left"/>
              <w:rPr>
                <w:rFonts w:ascii="Calisto MT" w:hAnsi="Calisto MT"/>
                <w:sz w:val="18"/>
                <w:szCs w:val="18"/>
                <w:lang w:val="sv-SE"/>
              </w:rPr>
            </w:pPr>
          </w:p>
        </w:tc>
        <w:tc>
          <w:tcPr>
            <w:tcW w:w="1276" w:type="dxa"/>
            <w:vMerge/>
            <w:shd w:val="clear" w:color="auto" w:fill="auto"/>
          </w:tcPr>
          <w:p w14:paraId="1A40DC5E" w14:textId="77777777" w:rsidR="0064316E" w:rsidRPr="0064316E" w:rsidRDefault="0064316E" w:rsidP="00122782">
            <w:pPr>
              <w:spacing w:before="0"/>
              <w:jc w:val="left"/>
              <w:rPr>
                <w:rFonts w:ascii="Calisto MT" w:hAnsi="Calisto MT"/>
                <w:color w:val="000000"/>
                <w:sz w:val="18"/>
                <w:szCs w:val="18"/>
                <w:lang w:val="sv-SE"/>
              </w:rPr>
            </w:pPr>
          </w:p>
        </w:tc>
        <w:tc>
          <w:tcPr>
            <w:tcW w:w="1276" w:type="dxa"/>
          </w:tcPr>
          <w:p w14:paraId="4552D3D2"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Fungsi kolaboratif</w:t>
            </w:r>
          </w:p>
        </w:tc>
        <w:tc>
          <w:tcPr>
            <w:tcW w:w="2021" w:type="dxa"/>
          </w:tcPr>
          <w:p w14:paraId="1594F8AE"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Telah ada fungsi kolaboratif ahli melalui kegiatan uji coba dan riset (13), webinar (15), serta seminar dan lokakarya (15).</w:t>
            </w:r>
          </w:p>
          <w:p w14:paraId="0F14F970" w14:textId="77777777" w:rsidR="0064316E" w:rsidRPr="0064316E" w:rsidRDefault="0064316E" w:rsidP="00122782">
            <w:pPr>
              <w:spacing w:before="0"/>
              <w:jc w:val="left"/>
              <w:rPr>
                <w:rFonts w:ascii="Calisto MT" w:hAnsi="Calisto MT"/>
                <w:sz w:val="18"/>
                <w:szCs w:val="18"/>
                <w:lang w:val="sv-SE"/>
              </w:rPr>
            </w:pPr>
          </w:p>
        </w:tc>
        <w:tc>
          <w:tcPr>
            <w:tcW w:w="2120" w:type="dxa"/>
          </w:tcPr>
          <w:p w14:paraId="32B20971"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Belum pernah dilakukan (2)</w:t>
            </w:r>
          </w:p>
        </w:tc>
      </w:tr>
      <w:tr w:rsidR="0064316E" w:rsidRPr="00AD1623" w14:paraId="09C39060" w14:textId="77777777" w:rsidTr="0064316E">
        <w:trPr>
          <w:trHeight w:val="787"/>
          <w:jc w:val="center"/>
        </w:trPr>
        <w:tc>
          <w:tcPr>
            <w:tcW w:w="567" w:type="dxa"/>
            <w:vMerge/>
          </w:tcPr>
          <w:p w14:paraId="540AED6D"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42434331" w14:textId="77777777" w:rsidR="0064316E" w:rsidRPr="0064316E" w:rsidRDefault="0064316E" w:rsidP="00122782">
            <w:pPr>
              <w:spacing w:before="0"/>
              <w:jc w:val="left"/>
              <w:rPr>
                <w:rFonts w:ascii="Calisto MT" w:hAnsi="Calisto MT"/>
                <w:sz w:val="18"/>
                <w:szCs w:val="18"/>
                <w:lang w:val="sv-SE"/>
              </w:rPr>
            </w:pPr>
          </w:p>
        </w:tc>
        <w:tc>
          <w:tcPr>
            <w:tcW w:w="1276" w:type="dxa"/>
            <w:vMerge/>
            <w:shd w:val="clear" w:color="auto" w:fill="auto"/>
          </w:tcPr>
          <w:p w14:paraId="29758B6A" w14:textId="77777777" w:rsidR="0064316E" w:rsidRPr="0064316E" w:rsidRDefault="0064316E" w:rsidP="00122782">
            <w:pPr>
              <w:spacing w:before="0"/>
              <w:jc w:val="left"/>
              <w:rPr>
                <w:rFonts w:ascii="Calisto MT" w:hAnsi="Calisto MT"/>
                <w:color w:val="000000"/>
                <w:sz w:val="18"/>
                <w:szCs w:val="18"/>
                <w:lang w:val="sv-SE"/>
              </w:rPr>
            </w:pPr>
          </w:p>
        </w:tc>
        <w:tc>
          <w:tcPr>
            <w:tcW w:w="1276" w:type="dxa"/>
          </w:tcPr>
          <w:p w14:paraId="1D722878"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Keterbukaan hasil penelitian </w:t>
            </w:r>
          </w:p>
        </w:tc>
        <w:tc>
          <w:tcPr>
            <w:tcW w:w="2021" w:type="dxa"/>
          </w:tcPr>
          <w:p w14:paraId="3F873798"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Telah ada publikasi hasil penelitian guna peingkatan mutu pendidikan jasmani (39)</w:t>
            </w:r>
          </w:p>
          <w:p w14:paraId="416C9E4E" w14:textId="77777777" w:rsidR="0064316E" w:rsidRPr="0064316E" w:rsidRDefault="0064316E" w:rsidP="00122782">
            <w:pPr>
              <w:spacing w:before="0"/>
              <w:jc w:val="left"/>
              <w:rPr>
                <w:rFonts w:ascii="Calisto MT" w:hAnsi="Calisto MT"/>
                <w:sz w:val="18"/>
                <w:szCs w:val="18"/>
                <w:lang w:val="sv-SE"/>
              </w:rPr>
            </w:pPr>
          </w:p>
        </w:tc>
        <w:tc>
          <w:tcPr>
            <w:tcW w:w="2120" w:type="dxa"/>
          </w:tcPr>
          <w:p w14:paraId="7F01F93D"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Belum terlaksana dan belum ada upaya  penerapan  lanjutan (6)</w:t>
            </w:r>
          </w:p>
        </w:tc>
      </w:tr>
      <w:tr w:rsidR="0064316E" w:rsidRPr="00AD1623" w14:paraId="541DE082" w14:textId="77777777" w:rsidTr="0064316E">
        <w:trPr>
          <w:trHeight w:val="597"/>
          <w:jc w:val="center"/>
        </w:trPr>
        <w:tc>
          <w:tcPr>
            <w:tcW w:w="567" w:type="dxa"/>
            <w:vMerge w:val="restart"/>
          </w:tcPr>
          <w:p w14:paraId="2E86660D" w14:textId="77777777" w:rsidR="0064316E" w:rsidRPr="0064316E" w:rsidRDefault="0064316E" w:rsidP="00122782">
            <w:pPr>
              <w:spacing w:before="0"/>
              <w:rPr>
                <w:rFonts w:ascii="Calisto MT" w:hAnsi="Calisto MT"/>
                <w:sz w:val="18"/>
                <w:szCs w:val="18"/>
              </w:rPr>
            </w:pPr>
            <w:r w:rsidRPr="0064316E">
              <w:rPr>
                <w:rFonts w:ascii="Calisto MT" w:hAnsi="Calisto MT"/>
                <w:sz w:val="18"/>
                <w:szCs w:val="18"/>
              </w:rPr>
              <w:t>7.</w:t>
            </w:r>
          </w:p>
        </w:tc>
        <w:tc>
          <w:tcPr>
            <w:tcW w:w="1417" w:type="dxa"/>
            <w:vMerge w:val="restart"/>
            <w:shd w:val="clear" w:color="auto" w:fill="auto"/>
          </w:tcPr>
          <w:p w14:paraId="7505DCE2"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Profesionalitas guru</w:t>
            </w:r>
          </w:p>
        </w:tc>
        <w:tc>
          <w:tcPr>
            <w:tcW w:w="1276" w:type="dxa"/>
            <w:vMerge w:val="restart"/>
            <w:shd w:val="clear" w:color="auto" w:fill="auto"/>
          </w:tcPr>
          <w:p w14:paraId="7CF7B3F9"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Kualifikasi </w:t>
            </w:r>
          </w:p>
        </w:tc>
        <w:tc>
          <w:tcPr>
            <w:tcW w:w="1276" w:type="dxa"/>
          </w:tcPr>
          <w:p w14:paraId="45C04A9F"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Sertifikat </w:t>
            </w:r>
          </w:p>
        </w:tc>
        <w:tc>
          <w:tcPr>
            <w:tcW w:w="2021" w:type="dxa"/>
          </w:tcPr>
          <w:p w14:paraId="7CFB96A4"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Kualifikasi sesuai dengan ijasah (45)</w:t>
            </w:r>
          </w:p>
        </w:tc>
        <w:tc>
          <w:tcPr>
            <w:tcW w:w="2120" w:type="dxa"/>
          </w:tcPr>
          <w:p w14:paraId="5ACF0C76"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w:t>
            </w:r>
          </w:p>
        </w:tc>
      </w:tr>
      <w:tr w:rsidR="0064316E" w:rsidRPr="0030645C" w14:paraId="50F4BE6E" w14:textId="77777777" w:rsidTr="0064316E">
        <w:trPr>
          <w:trHeight w:val="20"/>
          <w:jc w:val="center"/>
        </w:trPr>
        <w:tc>
          <w:tcPr>
            <w:tcW w:w="567" w:type="dxa"/>
            <w:vMerge/>
          </w:tcPr>
          <w:p w14:paraId="193ACCAC" w14:textId="77777777" w:rsidR="0064316E" w:rsidRPr="0064316E" w:rsidRDefault="0064316E" w:rsidP="00122782">
            <w:pPr>
              <w:spacing w:before="0"/>
              <w:rPr>
                <w:rFonts w:ascii="Calisto MT" w:hAnsi="Calisto MT"/>
                <w:sz w:val="18"/>
                <w:szCs w:val="18"/>
              </w:rPr>
            </w:pPr>
          </w:p>
        </w:tc>
        <w:tc>
          <w:tcPr>
            <w:tcW w:w="1417" w:type="dxa"/>
            <w:vMerge/>
            <w:shd w:val="clear" w:color="auto" w:fill="auto"/>
          </w:tcPr>
          <w:p w14:paraId="7FCA961B" w14:textId="77777777" w:rsidR="0064316E" w:rsidRPr="0064316E" w:rsidRDefault="0064316E" w:rsidP="00122782">
            <w:pPr>
              <w:spacing w:before="0"/>
              <w:jc w:val="left"/>
              <w:rPr>
                <w:rFonts w:ascii="Calisto MT" w:hAnsi="Calisto MT"/>
                <w:sz w:val="18"/>
                <w:szCs w:val="18"/>
              </w:rPr>
            </w:pPr>
          </w:p>
        </w:tc>
        <w:tc>
          <w:tcPr>
            <w:tcW w:w="1276" w:type="dxa"/>
            <w:vMerge/>
            <w:shd w:val="clear" w:color="auto" w:fill="auto"/>
          </w:tcPr>
          <w:p w14:paraId="19ED8FC8" w14:textId="77777777" w:rsidR="0064316E" w:rsidRPr="0064316E" w:rsidRDefault="0064316E" w:rsidP="00122782">
            <w:pPr>
              <w:spacing w:before="0"/>
              <w:jc w:val="left"/>
              <w:rPr>
                <w:rFonts w:ascii="Calisto MT" w:hAnsi="Calisto MT"/>
                <w:color w:val="000000"/>
                <w:sz w:val="18"/>
                <w:szCs w:val="18"/>
                <w:lang w:val="sv-SE"/>
              </w:rPr>
            </w:pPr>
          </w:p>
        </w:tc>
        <w:tc>
          <w:tcPr>
            <w:tcW w:w="1276" w:type="dxa"/>
          </w:tcPr>
          <w:p w14:paraId="49B1BCCE"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Peningkatan kompetensi</w:t>
            </w:r>
          </w:p>
        </w:tc>
        <w:tc>
          <w:tcPr>
            <w:tcW w:w="2021" w:type="dxa"/>
          </w:tcPr>
          <w:p w14:paraId="42A4F9CF"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 xml:space="preserve">Peningkatan kompetensi melalui musyawarah Guru Mata Pelajaran (MGMP) (16), diseminasi program pengembangan kompetensi  Guru PJOK (15), seminar &amp; karya ilmiah (1), webinar &amp; </w:t>
            </w:r>
            <w:r w:rsidRPr="0064316E">
              <w:rPr>
                <w:rFonts w:ascii="Calisto MT" w:hAnsi="Calisto MT"/>
                <w:sz w:val="18"/>
                <w:szCs w:val="18"/>
                <w:lang w:val="sv-SE"/>
              </w:rPr>
              <w:lastRenderedPageBreak/>
              <w:t>workshop (1), guru tamu (1).</w:t>
            </w:r>
          </w:p>
          <w:p w14:paraId="4E106545" w14:textId="77777777" w:rsidR="0064316E" w:rsidRPr="0064316E" w:rsidRDefault="0064316E" w:rsidP="00122782">
            <w:pPr>
              <w:spacing w:before="0"/>
              <w:jc w:val="left"/>
              <w:rPr>
                <w:rFonts w:ascii="Calisto MT" w:hAnsi="Calisto MT"/>
                <w:sz w:val="18"/>
                <w:szCs w:val="18"/>
                <w:lang w:val="sv-SE"/>
              </w:rPr>
            </w:pPr>
          </w:p>
        </w:tc>
        <w:tc>
          <w:tcPr>
            <w:tcW w:w="2120" w:type="dxa"/>
          </w:tcPr>
          <w:p w14:paraId="6609F78F"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lastRenderedPageBreak/>
              <w:t>Rendahnya pelaksanaan penguatan kompetensi guru inklusi oleh lembaga (11).</w:t>
            </w:r>
          </w:p>
          <w:p w14:paraId="276B0D94" w14:textId="77777777" w:rsidR="0064316E" w:rsidRPr="0064316E" w:rsidRDefault="0064316E" w:rsidP="00122782">
            <w:pPr>
              <w:rPr>
                <w:rFonts w:ascii="Calisto MT" w:hAnsi="Calisto MT"/>
                <w:sz w:val="18"/>
                <w:szCs w:val="18"/>
                <w:lang w:val="sv-SE"/>
              </w:rPr>
            </w:pPr>
          </w:p>
        </w:tc>
      </w:tr>
      <w:tr w:rsidR="0064316E" w:rsidRPr="00AD1623" w14:paraId="52D7A5C4" w14:textId="77777777" w:rsidTr="0064316E">
        <w:trPr>
          <w:trHeight w:val="829"/>
          <w:jc w:val="center"/>
        </w:trPr>
        <w:tc>
          <w:tcPr>
            <w:tcW w:w="567" w:type="dxa"/>
          </w:tcPr>
          <w:p w14:paraId="583A6FBB" w14:textId="77777777" w:rsidR="0064316E" w:rsidRPr="0064316E" w:rsidRDefault="0064316E" w:rsidP="00122782">
            <w:pPr>
              <w:spacing w:before="0"/>
              <w:rPr>
                <w:rFonts w:ascii="Calisto MT" w:hAnsi="Calisto MT"/>
                <w:sz w:val="18"/>
                <w:szCs w:val="18"/>
                <w:lang w:val="sv-SE"/>
              </w:rPr>
            </w:pPr>
            <w:r w:rsidRPr="0064316E">
              <w:rPr>
                <w:rFonts w:ascii="Calisto MT" w:hAnsi="Calisto MT"/>
                <w:sz w:val="18"/>
                <w:szCs w:val="18"/>
                <w:lang w:val="sv-SE"/>
              </w:rPr>
              <w:t>8.</w:t>
            </w:r>
          </w:p>
        </w:tc>
        <w:tc>
          <w:tcPr>
            <w:tcW w:w="1417" w:type="dxa"/>
            <w:shd w:val="clear" w:color="auto" w:fill="auto"/>
          </w:tcPr>
          <w:p w14:paraId="54DD36BE"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Sarana &amp; prasarana</w:t>
            </w:r>
          </w:p>
        </w:tc>
        <w:tc>
          <w:tcPr>
            <w:tcW w:w="1276" w:type="dxa"/>
            <w:shd w:val="clear" w:color="auto" w:fill="auto"/>
          </w:tcPr>
          <w:p w14:paraId="458A00BF"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Sumber daya </w:t>
            </w:r>
          </w:p>
        </w:tc>
        <w:tc>
          <w:tcPr>
            <w:tcW w:w="1276" w:type="dxa"/>
          </w:tcPr>
          <w:p w14:paraId="5A4B848A"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Kelengkapan sarana &amp; prasarana </w:t>
            </w:r>
          </w:p>
        </w:tc>
        <w:tc>
          <w:tcPr>
            <w:tcW w:w="2021" w:type="dxa"/>
          </w:tcPr>
          <w:p w14:paraId="1E288437"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Terdapat fasilitas yang lengkap dan standar (37)</w:t>
            </w:r>
          </w:p>
        </w:tc>
        <w:tc>
          <w:tcPr>
            <w:tcW w:w="2120" w:type="dxa"/>
          </w:tcPr>
          <w:p w14:paraId="136502E8"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Fasilitas belum terstandar sehingga guru mengandalkan modifikasi alat seadanya (8)</w:t>
            </w:r>
          </w:p>
          <w:p w14:paraId="252D385A" w14:textId="77777777" w:rsidR="0064316E" w:rsidRPr="0064316E" w:rsidRDefault="0064316E" w:rsidP="00122782">
            <w:pPr>
              <w:spacing w:before="0"/>
              <w:jc w:val="left"/>
              <w:rPr>
                <w:rFonts w:ascii="Calisto MT" w:hAnsi="Calisto MT"/>
                <w:sz w:val="18"/>
                <w:szCs w:val="18"/>
                <w:lang w:val="sv-SE"/>
              </w:rPr>
            </w:pPr>
          </w:p>
        </w:tc>
      </w:tr>
      <w:tr w:rsidR="0064316E" w:rsidRPr="00AD1623" w14:paraId="13658422" w14:textId="77777777" w:rsidTr="0064316E">
        <w:trPr>
          <w:trHeight w:val="20"/>
          <w:jc w:val="center"/>
        </w:trPr>
        <w:tc>
          <w:tcPr>
            <w:tcW w:w="567" w:type="dxa"/>
            <w:vMerge w:val="restart"/>
          </w:tcPr>
          <w:p w14:paraId="35FF3E93" w14:textId="77777777" w:rsidR="0064316E" w:rsidRPr="0064316E" w:rsidRDefault="0064316E" w:rsidP="00122782">
            <w:pPr>
              <w:spacing w:before="0"/>
              <w:rPr>
                <w:rFonts w:ascii="Calisto MT" w:hAnsi="Calisto MT"/>
                <w:sz w:val="18"/>
                <w:szCs w:val="18"/>
              </w:rPr>
            </w:pPr>
            <w:r w:rsidRPr="0064316E">
              <w:rPr>
                <w:rFonts w:ascii="Calisto MT" w:hAnsi="Calisto MT"/>
                <w:sz w:val="18"/>
                <w:szCs w:val="18"/>
              </w:rPr>
              <w:t>9.</w:t>
            </w:r>
          </w:p>
        </w:tc>
        <w:tc>
          <w:tcPr>
            <w:tcW w:w="1417" w:type="dxa"/>
            <w:vMerge w:val="restart"/>
            <w:shd w:val="clear" w:color="auto" w:fill="auto"/>
          </w:tcPr>
          <w:p w14:paraId="1C10563C"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Manajemen resiko</w:t>
            </w:r>
          </w:p>
        </w:tc>
        <w:tc>
          <w:tcPr>
            <w:tcW w:w="1276" w:type="dxa"/>
            <w:vMerge w:val="restart"/>
            <w:shd w:val="clear" w:color="auto" w:fill="auto"/>
          </w:tcPr>
          <w:p w14:paraId="39C9048E"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Pengelolaan risiko</w:t>
            </w:r>
          </w:p>
        </w:tc>
        <w:tc>
          <w:tcPr>
            <w:tcW w:w="1276" w:type="dxa"/>
          </w:tcPr>
          <w:p w14:paraId="6FC07D5F"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Lingkungan fisik yang aman </w:t>
            </w:r>
          </w:p>
        </w:tc>
        <w:tc>
          <w:tcPr>
            <w:tcW w:w="2021" w:type="dxa"/>
          </w:tcPr>
          <w:p w14:paraId="469691C8"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Minim perundungan, deskriminasi, dan resiko cedera, serta perlindungan hak dan martabat siswa (45)</w:t>
            </w:r>
          </w:p>
          <w:p w14:paraId="196391A1" w14:textId="77777777" w:rsidR="0064316E" w:rsidRPr="0064316E" w:rsidRDefault="0064316E" w:rsidP="00122782">
            <w:pPr>
              <w:spacing w:before="0"/>
              <w:jc w:val="left"/>
              <w:rPr>
                <w:rFonts w:ascii="Calisto MT" w:hAnsi="Calisto MT"/>
                <w:sz w:val="18"/>
                <w:szCs w:val="18"/>
                <w:lang w:val="sv-SE"/>
              </w:rPr>
            </w:pPr>
          </w:p>
        </w:tc>
        <w:tc>
          <w:tcPr>
            <w:tcW w:w="2120" w:type="dxa"/>
          </w:tcPr>
          <w:p w14:paraId="1BD69D84"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w:t>
            </w:r>
          </w:p>
        </w:tc>
      </w:tr>
      <w:tr w:rsidR="0064316E" w:rsidRPr="00AD1623" w14:paraId="6DE348BC" w14:textId="77777777" w:rsidTr="0064316E">
        <w:trPr>
          <w:trHeight w:val="1018"/>
          <w:jc w:val="center"/>
        </w:trPr>
        <w:tc>
          <w:tcPr>
            <w:tcW w:w="567" w:type="dxa"/>
            <w:vMerge/>
          </w:tcPr>
          <w:p w14:paraId="388AC227" w14:textId="77777777" w:rsidR="0064316E" w:rsidRPr="0064316E" w:rsidRDefault="0064316E" w:rsidP="00122782">
            <w:pPr>
              <w:spacing w:before="0"/>
              <w:rPr>
                <w:rFonts w:ascii="Calisto MT" w:hAnsi="Calisto MT"/>
                <w:sz w:val="18"/>
                <w:szCs w:val="18"/>
                <w:lang w:val="sv-SE"/>
              </w:rPr>
            </w:pPr>
          </w:p>
        </w:tc>
        <w:tc>
          <w:tcPr>
            <w:tcW w:w="1417" w:type="dxa"/>
            <w:vMerge/>
            <w:shd w:val="clear" w:color="auto" w:fill="auto"/>
          </w:tcPr>
          <w:p w14:paraId="3E4715AE" w14:textId="77777777" w:rsidR="0064316E" w:rsidRPr="0064316E" w:rsidRDefault="0064316E" w:rsidP="00122782">
            <w:pPr>
              <w:spacing w:before="0"/>
              <w:jc w:val="left"/>
              <w:rPr>
                <w:rFonts w:ascii="Calisto MT" w:hAnsi="Calisto MT"/>
                <w:sz w:val="18"/>
                <w:szCs w:val="18"/>
                <w:lang w:val="sv-SE"/>
              </w:rPr>
            </w:pPr>
          </w:p>
        </w:tc>
        <w:tc>
          <w:tcPr>
            <w:tcW w:w="1276" w:type="dxa"/>
            <w:vMerge/>
            <w:shd w:val="clear" w:color="auto" w:fill="auto"/>
          </w:tcPr>
          <w:p w14:paraId="481780F0" w14:textId="77777777" w:rsidR="0064316E" w:rsidRPr="0064316E" w:rsidRDefault="0064316E" w:rsidP="00122782">
            <w:pPr>
              <w:spacing w:before="0"/>
              <w:jc w:val="left"/>
              <w:rPr>
                <w:rFonts w:ascii="Calisto MT" w:hAnsi="Calisto MT"/>
                <w:color w:val="000000"/>
                <w:sz w:val="18"/>
                <w:szCs w:val="18"/>
                <w:lang w:val="sv-SE"/>
              </w:rPr>
            </w:pPr>
          </w:p>
        </w:tc>
        <w:tc>
          <w:tcPr>
            <w:tcW w:w="1276" w:type="dxa"/>
          </w:tcPr>
          <w:p w14:paraId="48BA5107"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Penerapan </w:t>
            </w:r>
          </w:p>
        </w:tc>
        <w:tc>
          <w:tcPr>
            <w:tcW w:w="2021" w:type="dxa"/>
          </w:tcPr>
          <w:p w14:paraId="2EC34B37"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Telah ada manajemen resiko cedera dan stress (45)</w:t>
            </w:r>
          </w:p>
        </w:tc>
        <w:tc>
          <w:tcPr>
            <w:tcW w:w="2120" w:type="dxa"/>
          </w:tcPr>
          <w:p w14:paraId="1529565F"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w:t>
            </w:r>
          </w:p>
        </w:tc>
      </w:tr>
      <w:tr w:rsidR="0064316E" w:rsidRPr="00AD1623" w14:paraId="4D4E5E84" w14:textId="77777777" w:rsidTr="0064316E">
        <w:trPr>
          <w:trHeight w:val="1274"/>
          <w:jc w:val="center"/>
        </w:trPr>
        <w:tc>
          <w:tcPr>
            <w:tcW w:w="567" w:type="dxa"/>
          </w:tcPr>
          <w:p w14:paraId="436A466A" w14:textId="77777777" w:rsidR="0064316E" w:rsidRPr="0064316E" w:rsidRDefault="0064316E" w:rsidP="00122782">
            <w:pPr>
              <w:spacing w:before="0"/>
              <w:rPr>
                <w:rFonts w:ascii="Calisto MT" w:hAnsi="Calisto MT"/>
                <w:sz w:val="18"/>
                <w:szCs w:val="18"/>
                <w:lang w:val="sv-SE"/>
              </w:rPr>
            </w:pPr>
            <w:r w:rsidRPr="0064316E">
              <w:rPr>
                <w:rFonts w:ascii="Calisto MT" w:hAnsi="Calisto MT"/>
                <w:sz w:val="18"/>
                <w:szCs w:val="18"/>
                <w:lang w:val="sv-SE"/>
              </w:rPr>
              <w:t>10.</w:t>
            </w:r>
          </w:p>
        </w:tc>
        <w:tc>
          <w:tcPr>
            <w:tcW w:w="1417" w:type="dxa"/>
            <w:shd w:val="clear" w:color="auto" w:fill="auto"/>
          </w:tcPr>
          <w:p w14:paraId="5F1C1C8F"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Keamanan program</w:t>
            </w:r>
          </w:p>
        </w:tc>
        <w:tc>
          <w:tcPr>
            <w:tcW w:w="1276" w:type="dxa"/>
            <w:shd w:val="clear" w:color="auto" w:fill="auto"/>
          </w:tcPr>
          <w:p w14:paraId="548081CD"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Dampak instruksional </w:t>
            </w:r>
          </w:p>
        </w:tc>
        <w:tc>
          <w:tcPr>
            <w:tcW w:w="1276" w:type="dxa"/>
          </w:tcPr>
          <w:p w14:paraId="610065DE"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202124"/>
                <w:sz w:val="18"/>
                <w:szCs w:val="18"/>
                <w:shd w:val="clear" w:color="auto" w:fill="FFFFFF"/>
                <w:lang w:val="sv-SE"/>
              </w:rPr>
              <w:t xml:space="preserve">Nilai-nilai positif pendidikan jasmani </w:t>
            </w:r>
          </w:p>
        </w:tc>
        <w:tc>
          <w:tcPr>
            <w:tcW w:w="2021" w:type="dxa"/>
          </w:tcPr>
          <w:p w14:paraId="6750F207"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Nilai-nilai positif diajarkan melalui sportivitas, kejujuran, tolong menolong, disiplin, anti deskriminasi  (45)</w:t>
            </w:r>
          </w:p>
          <w:p w14:paraId="2761E477" w14:textId="77777777" w:rsidR="0064316E" w:rsidRPr="0064316E" w:rsidRDefault="0064316E" w:rsidP="00122782">
            <w:pPr>
              <w:spacing w:before="0"/>
              <w:jc w:val="left"/>
              <w:rPr>
                <w:rFonts w:ascii="Calisto MT" w:hAnsi="Calisto MT"/>
                <w:sz w:val="18"/>
                <w:szCs w:val="18"/>
                <w:lang w:val="sv-SE"/>
              </w:rPr>
            </w:pPr>
          </w:p>
        </w:tc>
        <w:tc>
          <w:tcPr>
            <w:tcW w:w="2120" w:type="dxa"/>
          </w:tcPr>
          <w:p w14:paraId="71866E9D"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w:t>
            </w:r>
          </w:p>
        </w:tc>
      </w:tr>
      <w:tr w:rsidR="0064316E" w:rsidRPr="0064385A" w14:paraId="14CC644C" w14:textId="77777777" w:rsidTr="0064316E">
        <w:trPr>
          <w:trHeight w:val="1278"/>
          <w:jc w:val="center"/>
        </w:trPr>
        <w:tc>
          <w:tcPr>
            <w:tcW w:w="567" w:type="dxa"/>
          </w:tcPr>
          <w:p w14:paraId="528CD3EE" w14:textId="77777777" w:rsidR="0064316E" w:rsidRPr="0064316E" w:rsidRDefault="0064316E" w:rsidP="00122782">
            <w:pPr>
              <w:spacing w:before="0"/>
              <w:rPr>
                <w:rFonts w:ascii="Calisto MT" w:hAnsi="Calisto MT"/>
                <w:sz w:val="18"/>
                <w:szCs w:val="18"/>
              </w:rPr>
            </w:pPr>
            <w:r w:rsidRPr="0064316E">
              <w:rPr>
                <w:rFonts w:ascii="Calisto MT" w:hAnsi="Calisto MT"/>
                <w:sz w:val="18"/>
                <w:szCs w:val="18"/>
              </w:rPr>
              <w:t>11.</w:t>
            </w:r>
          </w:p>
        </w:tc>
        <w:tc>
          <w:tcPr>
            <w:tcW w:w="1417" w:type="dxa"/>
            <w:shd w:val="clear" w:color="auto" w:fill="auto"/>
          </w:tcPr>
          <w:p w14:paraId="7FAB3377"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Nilai-nilai perdamaian</w:t>
            </w:r>
          </w:p>
        </w:tc>
        <w:tc>
          <w:tcPr>
            <w:tcW w:w="1276" w:type="dxa"/>
            <w:shd w:val="clear" w:color="auto" w:fill="auto"/>
          </w:tcPr>
          <w:p w14:paraId="65E24C8C"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Promosi nilai-nilai pendidikan jasmani di masyarakat </w:t>
            </w:r>
          </w:p>
        </w:tc>
        <w:tc>
          <w:tcPr>
            <w:tcW w:w="1276" w:type="dxa"/>
          </w:tcPr>
          <w:p w14:paraId="359F7B7D"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Nilai-nilai sosial </w:t>
            </w:r>
          </w:p>
        </w:tc>
        <w:tc>
          <w:tcPr>
            <w:tcW w:w="2021" w:type="dxa"/>
          </w:tcPr>
          <w:p w14:paraId="42514214"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Nilai-nilai sosial ditekankan melalui nilai persatuan, perdamaian, kerukunan, gotong royong (45)</w:t>
            </w:r>
          </w:p>
        </w:tc>
        <w:tc>
          <w:tcPr>
            <w:tcW w:w="2120" w:type="dxa"/>
          </w:tcPr>
          <w:p w14:paraId="4260C0AC" w14:textId="77777777" w:rsidR="0064316E" w:rsidRPr="0064316E" w:rsidRDefault="0064316E" w:rsidP="00122782">
            <w:pPr>
              <w:spacing w:before="0"/>
              <w:jc w:val="left"/>
              <w:rPr>
                <w:rFonts w:ascii="Calisto MT" w:hAnsi="Calisto MT"/>
                <w:sz w:val="18"/>
                <w:szCs w:val="18"/>
                <w:lang w:val="sv-SE"/>
              </w:rPr>
            </w:pPr>
            <w:r w:rsidRPr="0064316E">
              <w:rPr>
                <w:rFonts w:ascii="Calisto MT" w:hAnsi="Calisto MT"/>
                <w:sz w:val="18"/>
                <w:szCs w:val="18"/>
                <w:lang w:val="sv-SE"/>
              </w:rPr>
              <w:t>-</w:t>
            </w:r>
          </w:p>
        </w:tc>
      </w:tr>
      <w:tr w:rsidR="0064316E" w14:paraId="1868A513" w14:textId="77777777" w:rsidTr="0064316E">
        <w:trPr>
          <w:trHeight w:val="759"/>
          <w:jc w:val="center"/>
        </w:trPr>
        <w:tc>
          <w:tcPr>
            <w:tcW w:w="567" w:type="dxa"/>
          </w:tcPr>
          <w:p w14:paraId="00307AF9" w14:textId="77777777" w:rsidR="0064316E" w:rsidRPr="0064316E" w:rsidRDefault="0064316E" w:rsidP="00122782">
            <w:pPr>
              <w:spacing w:before="0"/>
              <w:rPr>
                <w:rFonts w:ascii="Calisto MT" w:hAnsi="Calisto MT"/>
                <w:sz w:val="18"/>
                <w:szCs w:val="18"/>
              </w:rPr>
            </w:pPr>
            <w:r w:rsidRPr="0064316E">
              <w:rPr>
                <w:rFonts w:ascii="Calisto MT" w:hAnsi="Calisto MT"/>
                <w:sz w:val="18"/>
                <w:szCs w:val="18"/>
              </w:rPr>
              <w:t>12.</w:t>
            </w:r>
          </w:p>
        </w:tc>
        <w:tc>
          <w:tcPr>
            <w:tcW w:w="1417" w:type="dxa"/>
            <w:shd w:val="clear" w:color="auto" w:fill="auto"/>
          </w:tcPr>
          <w:p w14:paraId="5EEA613F"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rPr>
              <w:t>Kerjasama internasional</w:t>
            </w:r>
          </w:p>
        </w:tc>
        <w:tc>
          <w:tcPr>
            <w:tcW w:w="1276" w:type="dxa"/>
            <w:shd w:val="clear" w:color="auto" w:fill="auto"/>
          </w:tcPr>
          <w:p w14:paraId="60A18FF8"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Kolaborasi internasional</w:t>
            </w:r>
          </w:p>
        </w:tc>
        <w:tc>
          <w:tcPr>
            <w:tcW w:w="1276" w:type="dxa"/>
          </w:tcPr>
          <w:p w14:paraId="311CFC67"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 xml:space="preserve">Pembangunan pendidikan jasmani </w:t>
            </w:r>
          </w:p>
        </w:tc>
        <w:tc>
          <w:tcPr>
            <w:tcW w:w="2021" w:type="dxa"/>
          </w:tcPr>
          <w:p w14:paraId="400BD70E"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color w:val="000000"/>
                <w:sz w:val="18"/>
                <w:szCs w:val="18"/>
                <w:lang w:val="sv-SE"/>
              </w:rPr>
              <w:t>-</w:t>
            </w:r>
          </w:p>
        </w:tc>
        <w:tc>
          <w:tcPr>
            <w:tcW w:w="2120" w:type="dxa"/>
          </w:tcPr>
          <w:p w14:paraId="2146138C" w14:textId="77777777" w:rsidR="0064316E" w:rsidRPr="0064316E" w:rsidRDefault="0064316E" w:rsidP="00122782">
            <w:pPr>
              <w:spacing w:before="0"/>
              <w:jc w:val="left"/>
              <w:rPr>
                <w:rFonts w:ascii="Calisto MT" w:hAnsi="Calisto MT"/>
                <w:color w:val="000000"/>
                <w:sz w:val="18"/>
                <w:szCs w:val="18"/>
                <w:lang w:val="sv-SE"/>
              </w:rPr>
            </w:pPr>
            <w:r w:rsidRPr="0064316E">
              <w:rPr>
                <w:rFonts w:ascii="Calisto MT" w:hAnsi="Calisto MT"/>
                <w:sz w:val="18"/>
                <w:szCs w:val="18"/>
                <w:lang w:val="sv-SE"/>
              </w:rPr>
              <w:t>Belum ada kerjasama internasional untuk menciptakan pendidikan jasmani yang unggul (45)</w:t>
            </w:r>
          </w:p>
        </w:tc>
      </w:tr>
    </w:tbl>
    <w:p w14:paraId="68344F2C" w14:textId="77777777" w:rsidR="00372592" w:rsidRPr="008E20AD" w:rsidRDefault="00372592" w:rsidP="0064316E">
      <w:pPr>
        <w:spacing w:before="0" w:beforeAutospacing="0" w:after="0" w:afterAutospacing="0"/>
        <w:ind w:left="0"/>
        <w:jc w:val="both"/>
        <w:rPr>
          <w:lang w:val="id-ID"/>
        </w:rPr>
      </w:pPr>
    </w:p>
    <w:p w14:paraId="2BB2A344" w14:textId="6D073A84" w:rsidR="00980522" w:rsidRPr="008E20AD" w:rsidRDefault="00980522" w:rsidP="00980522">
      <w:pPr>
        <w:pStyle w:val="Heading4"/>
        <w:spacing w:line="240" w:lineRule="auto"/>
        <w:ind w:firstLine="0"/>
        <w:rPr>
          <w:b/>
        </w:rPr>
      </w:pPr>
      <w:r w:rsidRPr="008E20AD">
        <w:rPr>
          <w:b/>
        </w:rPr>
        <w:t>PEMBAHASAN</w:t>
      </w:r>
    </w:p>
    <w:p w14:paraId="10EF4E53" w14:textId="1C7BADD2" w:rsidR="0064316E" w:rsidRPr="0064316E" w:rsidRDefault="0064316E" w:rsidP="0064316E">
      <w:pPr>
        <w:pStyle w:val="Heading4"/>
        <w:ind w:firstLine="567"/>
      </w:pPr>
      <w:r w:rsidRPr="0064316E">
        <w:t xml:space="preserve">Bagian pembahasan, secara umum akan membahas mengenai bentuk dukungan dan hambatan dalam pembelajaran. Berdasarkan aspek kesetaraan hak, secara dominan guru pada daerah urban masih terkendala pada pelaksanaan pendidikan jasmani adaptif. Guru menyatakan bahwa pelaksanaan pembelajaran masih belum maksimal diakibatkan oleh tidak adanya guru </w:t>
      </w:r>
      <w:r w:rsidRPr="0064316E">
        <w:rPr>
          <w:i/>
          <w:iCs/>
        </w:rPr>
        <w:t>shadow</w:t>
      </w:r>
      <w:r w:rsidRPr="0064316E">
        <w:t xml:space="preserve">, kemudian terdapat ketidak efesienan waktu  apabila guru hanya berfokus untuk mendampingi peserta didik dengan disabilitas. Pernyataan ini, sesuai dengan hasil penelitian oleh </w:t>
      </w:r>
      <w:r w:rsidRPr="0064316E">
        <w:fldChar w:fldCharType="begin" w:fldLock="1"/>
      </w:r>
      <w:r w:rsidRPr="0064316E">
        <w:instrText>ADDIN CSL_CITATION {"citationItems":[{"id":"ITEM-1","itemData":{"abstract":"Penelitian ini bertujuan untuk mengetahui tetang pendidikan inklusi dalam pendidikan jasmani dari sudut pandang penyandang disabilitas serta faktor-faktor yang menghambat dan memfasilitasi pendidikan inklusi. Penelitian ini menggunakan metode kualitatif. Sampel penelitian adalah anak penyandang disabilitas yang bersekolah di lima kota/kabupaten dari tujuh sekolah di provinsi Banten. Sampel berjumlah 20 orang (13 laki-laki, 7 perempuan). Instrumen yang digunakan penulis merancang berdasarkan literatur sebelumnya. Data wawancara dianalisis dengan menggunakan analisis konten. Dalam kegiatan pendidikan jasmani mayoritas hasil wawancara siswa penyandang disabilitas kurang berpartisipasi dan memiliki pandangan negatif dalam pendidikan inklusi. Teori yang digunakan didalam penelitian ini model disabilitas relasional sosial. Temuan mengungkapkan bahwa yang menghambat dan memfasilitasi dalam pendidikan inklusi: faktor pribadi, konteks fisik, dan konteks sosial. Kesimpulan dari penelitian ini untuk menghilangkan hambatan perlu adanya intervensi, dukungan finansial, serta harus diadakannya program yang disesuaikan dengan melibatkan sekolah dan yang mempunyai kebijakan dalam hal ini pemerintah","author":[{"dropping-particle":"","family":"Widyawan","given":"Dena","non-dropping-particle":"","parse-names":false,"suffix":""}],"container-title":"Jurnal SPORTIF: Jurnal Penelitian Pembelajaran","id":"ITEM-1","issue":"3","issued":{"date-parts":[["2020"]]},"page":"746-762","title":"Inklusi dalam Pendidikan Jasmani: Perspektif Siswa Penyandang Disabilitas","type":"article-journal","volume":"6"},"uris":["http://www.mendeley.com/documents/?uuid=bb02f93d-687c-40dd-ba11-5cfdd1444f4e"]}],"mendeley":{"formattedCitation":"(Widyawan, 2020)","manualFormatting":"Widyawan, (2020)","plainTextFormattedCitation":"(Widyawan, 2020)","previouslyFormattedCitation":"(Widyawan, 2020)"},"properties":{"noteIndex":0},"schema":"https://github.com/citation-style-language/schema/raw/master/csl-citation.json"}</w:instrText>
      </w:r>
      <w:r w:rsidRPr="0064316E">
        <w:fldChar w:fldCharType="separate"/>
      </w:r>
      <w:r w:rsidRPr="0064316E">
        <w:rPr>
          <w:noProof/>
        </w:rPr>
        <w:t>Widyawan, (2020)</w:t>
      </w:r>
      <w:r w:rsidRPr="0064316E">
        <w:fldChar w:fldCharType="end"/>
      </w:r>
      <w:r w:rsidRPr="0064316E">
        <w:t xml:space="preserve"> bahwasannya dalam kegiatan pendidikan jasmani secara umum peserta didik dengan disabilitas kurang dilibatkan dalam pembelajaran. Disisi lain kemampuan akomodasi guru dalam melakukan asessment belajar peserta didik dengan disabilitas juga mengalami keterbatasan instrumen </w:t>
      </w:r>
      <w:r w:rsidRPr="0064316E">
        <w:fldChar w:fldCharType="begin" w:fldLock="1"/>
      </w:r>
      <w:r w:rsidRPr="0064316E">
        <w:instrText>ADDIN CSL_CITATION {"citationItems":[{"id":"ITEM-1","itemData":{"DOI":"https://doi.org/10.37058/sport.v7i3.8332","author":[{"dropping-particle":"","family":"Burhein","given":"Erick","non-dropping-particle":"","parse-names":false,"suffix":""},{"dropping-particle":"","family":"Saleh","given":"Muhammad","non-dropping-particle":"","parse-names":false,"suffix":""}],"container-title":"Journal of SPORT","id":"ITEM-1","issue":"3","issued":{"date-parts":[["2023"]]},"page":"1-10","title":"Analisis Kebutuhan Instrumen Aktivitas Fisik pada Disabilitas","type":"article-journal","volume":"7"},"uris":["http://www.mendeley.com/documents/?uuid=07e1977b-efae-46ea-9c75-e3baca4dba66"]}],"mendeley":{"formattedCitation":"(Burhein &amp; Saleh, 2023)","plainTextFormattedCitation":"(Burhein &amp; Saleh, 2023)","previouslyFormattedCitation":"(Burhein &amp; Saleh, 2023)"},"properties":{"noteIndex":0},"schema":"https://github.com/citation-style-language/schema/raw/master/csl-citation.json"}</w:instrText>
      </w:r>
      <w:r w:rsidRPr="0064316E">
        <w:fldChar w:fldCharType="separate"/>
      </w:r>
      <w:r w:rsidRPr="0064316E">
        <w:rPr>
          <w:noProof/>
        </w:rPr>
        <w:t>(Burhein &amp; Saleh, 2023)</w:t>
      </w:r>
      <w:r w:rsidRPr="0064316E">
        <w:fldChar w:fldCharType="end"/>
      </w:r>
      <w:r w:rsidRPr="0064316E">
        <w:t xml:space="preserve">. Sehingga secara garis besar guru pada daerah urban membutuhkan pengetahuan seputar pembelajaran ramah inklusi yang mudah di akses guna meningkatkan dan mengakomodasi kebutuhan belajar peserta didik dengan disabilitas. Pemenuhan pada aspek kesetaraan hak dalam lingkup pendidikan dapat mendukung keberagaman, mengurangi diskriminasi, dan mempromosikan toleransi melalui pembelajaran yang responsif </w:t>
      </w:r>
      <w:r w:rsidRPr="0064316E">
        <w:fldChar w:fldCharType="begin" w:fldLock="1"/>
      </w:r>
      <w: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Nurhasanah","given":"Ana","non-dropping-particle":"","parse-names":false,"suffix":""},{"dropping-particle":"","family":"Marini","given":"Arita","non-dropping-particle":"","parse-names":false,"suffix":""},{"dropping-particle":"","family":"Sumantri","given":"M Syarif","non-dropping-particle":"","parse-names":false,"suffix":""}],"container-title":"ESJ (Elementary School Journal)","id":"ITEM-1","issue":"1","issued":{"date-parts":[["2021"]]},"page":"6","title":"Pengelolaan Pendidikan Berbasis Kebijakan Gender di Salah Satu Sekolah Dasar Banten","type":"article-journal","volume":"11"},"uris":["http://www.mendeley.com/documents/?uuid=4d8ac3b7-87ba-4d20-b5b8-8232f3f49bc4"]}],"mendeley":{"formattedCitation":"(Nurhasanah et al., 2021)","plainTextFormattedCitation":"(Nurhasanah et al., 2021)","previouslyFormattedCitation":"(Nurhasanah, Marini, &amp; Sumantri, 2021)"},"properties":{"noteIndex":0},"schema":"https://github.com/citation-style-language/schema/raw/master/csl-citation.json"}</w:instrText>
      </w:r>
      <w:r w:rsidRPr="0064316E">
        <w:fldChar w:fldCharType="separate"/>
      </w:r>
      <w:r w:rsidRPr="0064316E">
        <w:rPr>
          <w:noProof/>
        </w:rPr>
        <w:t>(Nurhasanah et al., 2021)</w:t>
      </w:r>
      <w:r w:rsidRPr="0064316E">
        <w:fldChar w:fldCharType="end"/>
      </w:r>
      <w:r w:rsidRPr="0064316E">
        <w:t xml:space="preserve">. Simpulan ini sesuai dengan  dengan hambatan kesiapan penyelenggaraan inklusi secara umum yang didapati pada orang tua, </w:t>
      </w:r>
      <w:r w:rsidRPr="0064316E">
        <w:lastRenderedPageBreak/>
        <w:t xml:space="preserve">sekolah, masyarakat, pemerintah, sarana dan prasarana, serta minimnya kerjasama dari berbagai pihak </w:t>
      </w:r>
      <w:r w:rsidRPr="0064316E">
        <w:fldChar w:fldCharType="begin" w:fldLock="1"/>
      </w:r>
      <w:r>
        <w:instrText>ADDIN CSL_CITATION {"citationItems":[{"id":"ITEM-1","itemData":{"DOI":"10.51494/jpdf.v3i2.704","ISSN":"2721-9003","abstract":"Abstract: Children with special needs have the same rights as children in general to get an education. Unfortunately, the availability of adequate education for children with special needs is not adequate and equal. Because the provision of special schools only in big cities. Inclusive education comes as an alternative solution to overcome the social problems of Children with Special Needs (ABK). The purpose of establishing inclusive education is to minimize the impact caused by an exclusive attitude. In addition, inclusive education also has several problems because both schools, communities and teachers do not fully understand and know how to implement inclusive schools in accordance with existing rules. In this article using descriptive research methods to find out more deeply what problems are faced by schools, especially related to the implementation of inclusive education. society, and government.","author":[{"dropping-particle":"","family":"Pratiwi","given":"Laura Tyas","non-dropping-particle":"","parse-names":false,"suffix":""},{"dropping-particle":"","family":"Maghfiroh","given":"Meilani Nur","non-dropping-particle":"","parse-names":false,"suffix":""},{"dropping-particle":"","family":"Andika","given":"Dimas Septa","non-dropping-particle":"","parse-names":false,"suffix":""},{"dropping-particle":"","family":"Marcela","given":"Intan Nur","non-dropping-particle":"","parse-names":false,"suffix":""},{"dropping-particle":"","family":"Afifah","given":"Awayna Faza","non-dropping-particle":"","parse-names":false,"suffix":""}],"container-title":"Jurnal Pendidikan Dasar Flobamorata","id":"ITEM-1","issue":"2","issued":{"date-parts":[["2022"]]},"page":"314-318","title":"Permasalahan yang Dihadapi Dalam Pelaksanaan Sekolah Inklusi Di Indonesia","type":"article-journal","volume":"3"},"uris":["http://www.mendeley.com/documents/?uuid=9cb96b76-0534-4760-a608-8b728e1a1149"]}],"mendeley":{"formattedCitation":"(Pratiwi et al., 2022)","manualFormatting":"(Pratiwi et al., 2022)","plainTextFormattedCitation":"(Pratiwi et al., 2022)","previouslyFormattedCitation":"(Pratiwi, Maghfiroh, Andika, Marcela, &amp; Afifah, 2022)"},"properties":{"noteIndex":0},"schema":"https://github.com/citation-style-language/schema/raw/master/csl-citation.json"}</w:instrText>
      </w:r>
      <w:r w:rsidRPr="0064316E">
        <w:fldChar w:fldCharType="separate"/>
      </w:r>
      <w:r w:rsidRPr="0064316E">
        <w:rPr>
          <w:noProof/>
        </w:rPr>
        <w:t>(Pratiwi et al., 2022)</w:t>
      </w:r>
      <w:r w:rsidRPr="0064316E">
        <w:fldChar w:fldCharType="end"/>
      </w:r>
      <w:r w:rsidRPr="0064316E">
        <w:t xml:space="preserve">. Kondisi ini, juga menjadi catatan bagi pemerintah maupun stakeholder terkait ketersediaan aksesbilitas informasi pembelajaran ramah disabilitas serta pengadaan program peningkatan kompetensi guru di bidang inklusi maupun khusus. </w:t>
      </w:r>
    </w:p>
    <w:p w14:paraId="479C841E" w14:textId="012B1A2C" w:rsidR="0064316E" w:rsidRPr="0064316E" w:rsidRDefault="0064316E" w:rsidP="0064316E">
      <w:pPr>
        <w:pStyle w:val="Heading4"/>
        <w:ind w:firstLine="567"/>
      </w:pPr>
      <w:r w:rsidRPr="0064316E">
        <w:t xml:space="preserve">Pemenuhan kebermanfaatan program pembelajaran dapat meningkatkan keterampilan peserta didik, menanamkan nilai-nilai positif, dan mempersiapkan mereka untuk menghadapi tantangan kehidupan sehari-hari </w:t>
      </w:r>
      <w:r w:rsidRPr="0064316E">
        <w:fldChar w:fldCharType="begin" w:fldLock="1"/>
      </w:r>
      <w:r>
        <w:instrText>ADDIN CSL_CITATION {"citationItems":[{"id":"ITEM-1","itemData":{"DOI":"10.1080/17408989.2021.1999915","ISSN":"17425786","abstract":"Background: The implementation of a quality daily physical activity program in school is influenced by a multitude of factors. Considering the characteristics and possible interactions of factors when choosing the study methods is likely to influence the interpretation of the results. Mixed methods approach, by collecting both quantitative and qualitative data, can lend a more comprehensive understanding of a physical activity intervention and its effects. Purpose: This paper aims to assess the benefits of a daily physical activity program and underline the theoretical and methodological interrelationships of this project based on an ecological approach and using a mixed methods design. Method: A semi-structured interview was used to collect the perceptions of a physical and health education teacher and self-administered questionnaires were used to survey classroom teachers and parents, while the quantification of the benefits of the program on students was based on an attention test, accelerometer measurements and a motor skills evaluation. Results: This mixed methods study provided an opportunity to measure the benefits of a daily physical activity program at the intrapersonal level (students’ attention, PA intensity, and motor skills) and compare these results with findings at the interpersonal level (parents’ perceptions), and institutional level (PHE teacher and classroom teachers’ perceptions). Examining the benefits associated with the daily physical activity program using qualitative and quantitative measurement tools at different levels of the ecological approach enabled the convergence and corroboration of findings but also the elaboration, enhancement, and clarification of findings. Conclusion: A mixed methods design has helped to make an optimal use of the ecological approach despite the presence of methodological limits but has also helped to increase the effectiveness of classroom teachers and physical and health education teacher delivering the daily physical activity program, and ultimately to reap greater benefits.","author":[{"dropping-particle":"","family":"Berrigan","given":"Félix","non-dropping-particle":"","parse-names":false,"suffix":""},{"dropping-particle":"","family":"Beaudoin","given":"Sylvie","non-dropping-particle":"","parse-names":false,"suffix":""},{"dropping-particle":"","family":"Dubuc","given":"Marie Maude","non-dropping-particle":"","parse-names":false,"suffix":""},{"dropping-particle":"","family":"Bernier","given":"Pierre Michel","non-dropping-particle":"","parse-names":false,"suffix":""},{"dropping-particle":"","family":"Turcotte","given":"Sylvain","non-dropping-particle":"","parse-names":false,"suffix":""}],"container-title":"Physical Education and Sport Pedagogy","id":"ITEM-1","issue":"2","issued":{"date-parts":[["2022"]]},"page":"200-213","title":"Benefits of a daily physical activity program supervised by a physical and health education teacher: utility of a mixed methods study using an ecological approach","type":"article-journal","volume":"27"},"uris":["http://www.mendeley.com/documents/?uuid=2abcf630-af92-47eb-ae79-55ff9c81b397"]}],"mendeley":{"formattedCitation":"(Berrigan et al., 2022)","plainTextFormattedCitation":"(Berrigan et al., 2022)","previouslyFormattedCitation":"(Berrigan, Beaudoin, Dubuc, Bernier, &amp; Turcotte, 2022)"},"properties":{"noteIndex":0},"schema":"https://github.com/citation-style-language/schema/raw/master/csl-citation.json"}</w:instrText>
      </w:r>
      <w:r w:rsidRPr="0064316E">
        <w:fldChar w:fldCharType="separate"/>
      </w:r>
      <w:r w:rsidRPr="0064316E">
        <w:rPr>
          <w:noProof/>
        </w:rPr>
        <w:t>(Berrigan et al., 2022)</w:t>
      </w:r>
      <w:r w:rsidRPr="0064316E">
        <w:fldChar w:fldCharType="end"/>
      </w:r>
      <w:r w:rsidRPr="0064316E">
        <w:rPr>
          <w:lang w:val="sv-SE"/>
        </w:rPr>
        <w:t xml:space="preserve">. </w:t>
      </w:r>
      <w:r w:rsidRPr="0064316E">
        <w:t xml:space="preserve">Berdasarkan aspek kebermanfaatan program, pada daerah urban skor terendah didapati pada pernyataan di indikator sistem pembelajaran Pendidikan Jasmani telah dirancang dengan standar kualitas yang tinggi. Sebagian kecil guru menyatakan bahwa belum bisa mengimplementasikan CP secara merata, kemudian selama ini pembelajaraan masih sebatas dasar permainan belum ke manfaat dari aktivitas fisik yang dilakukan. Permasalahan implementasi CP secara umum disebabkan oleh keterbatasan pemahaman guru,  keterbatasan sarana  dan prasarana, kesiapan sekolah, kesiapan peserta didik, serta kurangnya dukungan orang tua. Oleh karena itu, perencanaan pembelajaran harus didesain dengan sebaik mungkin, karena dapat berdampak pada literasi fisik yang akan didapatkan oleh peserta didik </w:t>
      </w:r>
      <w:r w:rsidRPr="0064316E">
        <w:fldChar w:fldCharType="begin" w:fldLock="1"/>
      </w:r>
      <w:r>
        <w:instrText xml:space="preserve">ADDIN CSL_CITATION {"citationItems":[{"id":"ITEM-1","itemData":{"DOI":"10.51601/ijersc.v3i3.367","abstract":"Kinesthetic-based physical education learning has a great opportunity to develop multiple intelligences in students at school, Through physical education carried out in schools, it can be used as a tool to help students improve motor skills, health, fitness, character building, personality, discipline and inculcating the values </w:instrText>
      </w:r>
      <w:r>
        <w:rPr>
          <w:rFonts w:ascii="Times New Roman" w:hAnsi="Times New Roman" w:cs="Times New Roman"/>
        </w:rPr>
        <w:instrText>​​</w:instrText>
      </w:r>
      <w:r>
        <w:instrText>of honesty, cooperation and responsibility. Currently, the reality of teachers in the field does not understand the role of physical education in the educational process, most teachers argue that sport is only for maintaining health and has not yet reached the role of physical education in supporting the development of children's intelligence. The purpose of this study was to see how far the implementation of physical education in improving kinesthetic intelligence in Madrasah Ibtidayyah (MI) Al-Firdaus and MI Yanuri through a management approach. Specifically, this study describes the principles of management theory, including: (1) planning, (2) organizing, (3) implementing, and (4) evaluating physical education and its relationship with kinesthetic intelligence using management theory from GR Terry and Howard Gadner's theory of kinesthetic intelligence. This study uses a descriptive method with a qualitative approach and data collection by conducting observations, interviews, and documentation studies.","author":[{"dropping-particle":"","family":"Rodji","given":"Achmad Pahrul","non-dropping-particle":"","parse-names":false,"suffix":""},{"dropping-particle":"","family":"Wasliman","given":"Iim","non-dropping-particle":"","parse-names":false,"suffix":""},{"dropping-particle":"","family":"Muchtar","given":"Hendi Suhendraya","non-dropping-particle":"","parse-names":false,"suffix":""},{"dropping-particle":"","family":"Koswara","given":"Nandang","non-dropping-particle":"","parse-names":false,"suffix":""}],"container-title":"International Journal of Educational Research &amp; Social Sciences","id":"ITEM-1","issue":"3","issued":{"date-parts":[["2022"]]},"page":"1084-1088","title":"Physical Education Learning Management in Fostering Students' Kinesthetic Intelligence","type":"article-journal","volume":"3"},"uris":["http://www.mendeley.com/documents/?uuid=c6910106-e15f-4570-92ff-e7ac6c5b3e48"]}],"mendeley":{"formattedCitation":"(Rodji et al., 2022)","plainTextFormattedCitation":"(Rodji et al., 2022)","previouslyFormattedCitation":"(Rodji, Wasliman, Muchtar, &amp; Koswara, 2022)"},"properties":{"noteIndex":0},"schema":"https://github.com/citation-style-language/schema/raw/master/csl-citation.json"}</w:instrText>
      </w:r>
      <w:r w:rsidRPr="0064316E">
        <w:fldChar w:fldCharType="separate"/>
      </w:r>
      <w:r w:rsidRPr="0064316E">
        <w:rPr>
          <w:noProof/>
        </w:rPr>
        <w:t>(Rodji et al., 2022)</w:t>
      </w:r>
      <w:r w:rsidRPr="0064316E">
        <w:fldChar w:fldCharType="end"/>
      </w:r>
      <w:r w:rsidRPr="0064316E">
        <w:t xml:space="preserve">. Secara esensi, literasi fisik membantu peserta didik dalam mengembangkan keterampilan kognitif dan karakter guna penerapan konsep olahraga yang efektif </w:t>
      </w:r>
      <w:r w:rsidRPr="0064316E">
        <w:fldChar w:fldCharType="begin" w:fldLock="1"/>
      </w:r>
      <w:r>
        <w:instrText>ADDIN CSL_CITATION {"citationItems":[{"id":"ITEM-1","itemData":{"DOI":"10.31004/basicedu.v8i1.7073","ISSN":"2580-3735","abstract":"Literasi sport science dalam bidang olahraga pada mahasiswa Pendidikan guru sekolah dasar merupakan hal yang penting dalam membekali mereka dengan pengetahuna dan keterampilan yang diperlukan untuk mengajar Pendidikan jasamani secara efektif. Dengan memahami konsep-konsep ilmiah dalam olahraga, pada mahasiswa dapat menajdi guru yang mampu memberikan pengajaran yang berkualitas dan mendukung pembentukan gaya hidup sehat pada anak-anak. Penelitian dan pengembangan model pembelajaran, integrasi konsep literasi fisik ke dalam kurikulum serta pemanfaatn sumber daya yang memadai menjadi hal yg perlu diperhatikan. Literasi di bidang sport science dapat membantu mahasiswa Pendidikan guru sekolah dasar dalam mengembangkan kemampuan olharaga melalui pendekatan serta pengembangan karakter peserta didik, seperti kejujuran, kerja keras dan kedisiplinan. Selain itu, literasi sains juga menjadi focus utama dalam bidang Pendidikan jasmani yang bertujuan untuk meningkatka peahaman terhadap aspek fisik dan jasmani. Dengan demikian, literasi sport science tidak hanya membantu mahasiswa dalam memahami dala konsep ilmiah olahraga, akan tetapi juga membantu mengembangkan keterampilan kognitif dan karakter yang diperlukan untuk menjadi pendidik oalrhaga yg efektif","author":[{"dropping-particle":"","family":"Putro","given":"Waskito Aji Suryo","non-dropping-particle":"","parse-names":false,"suffix":""},{"dropping-particle":"","family":"Sugiono","given":"Sugiono","non-dropping-particle":"","parse-names":false,"suffix":""},{"dropping-particle":"","family":"Istiyono","given":"Istiyono","non-dropping-particle":"","parse-names":false,"suffix":""},{"dropping-particle":"","family":"Widiyaningsih","given":"Wahyu Retno","non-dropping-particle":"","parse-names":false,"suffix":""}],"container-title":"Jurnal Basicedu","id":"ITEM-1","issue":"1","issued":{"date-parts":[["2024"]]},"page":"477-483","title":"Literasi Sport Science dalam Bidang Olahraga pada Mahasiswa Pendidikan Guru Sekolah Dasar","type":"article-journal","volume":"8"},"uris":["http://www.mendeley.com/documents/?uuid=a3a823bf-6d01-4565-9a6d-efbcc366fc34"]}],"mendeley":{"formattedCitation":"(Putro et al., 2024)","plainTextFormattedCitation":"(Putro et al., 2024)","previouslyFormattedCitation":"(Putro, Sugiono, Istiyono, &amp; Widiyaningsih, 2024)"},"properties":{"noteIndex":0},"schema":"https://github.com/citation-style-language/schema/raw/master/csl-citation.json"}</w:instrText>
      </w:r>
      <w:r w:rsidRPr="0064316E">
        <w:fldChar w:fldCharType="separate"/>
      </w:r>
      <w:r w:rsidRPr="0064316E">
        <w:rPr>
          <w:noProof/>
        </w:rPr>
        <w:t>(Putro et al., 2024)</w:t>
      </w:r>
      <w:r w:rsidRPr="0064316E">
        <w:fldChar w:fldCharType="end"/>
      </w:r>
      <w:r w:rsidRPr="0064316E">
        <w:t xml:space="preserve">. Meskipun begitu, sebagian besar sekolah pada daerah urban menyatakan bahwa </w:t>
      </w:r>
      <w:r w:rsidRPr="0064316E">
        <w:rPr>
          <w:bCs/>
        </w:rPr>
        <w:t xml:space="preserve">penguatan literasi fisik melalui pendidikan jasmani di sekolah telah berhasil meningkatkan keterampilan motorik dan kebugaran jasmani peserta didik. </w:t>
      </w:r>
      <w:r w:rsidRPr="0064316E">
        <w:rPr>
          <w:bCs/>
          <w:lang w:val="sv-SE"/>
        </w:rPr>
        <w:t xml:space="preserve">Pernyataan ini dibuktikan dengan baiknya data hasil tes kebugaran jasmani, seperti kekuatan otot, daya tahan kardiorespiratori, fleksibilitas, dan keseimbangan. </w:t>
      </w:r>
    </w:p>
    <w:p w14:paraId="5A85550E" w14:textId="77777777" w:rsidR="0064316E" w:rsidRPr="0064316E" w:rsidRDefault="0064316E" w:rsidP="0064316E">
      <w:pPr>
        <w:pStyle w:val="Heading4"/>
        <w:ind w:firstLine="567"/>
        <w:rPr>
          <w:bCs/>
        </w:rPr>
      </w:pPr>
      <w:r w:rsidRPr="0064316E">
        <w:t xml:space="preserve">Aspek kontribusi stakeholder, didapatkan pernyataan bahwa  </w:t>
      </w:r>
      <w:r w:rsidRPr="0064316E">
        <w:rPr>
          <w:bCs/>
        </w:rPr>
        <w:t>stakeholder sudah cukup berperan dalam pengadaan fasilitas yang terstandar, meskipun begitu sebagian kecil hambatan ada pada proses pengadaan fasilitas serta luas sekolah yang terbatas menjadi hambatan utama.</w:t>
      </w:r>
      <w:r w:rsidRPr="0064316E">
        <w:t xml:space="preserve"> S</w:t>
      </w:r>
      <w:r w:rsidRPr="0064316E">
        <w:rPr>
          <w:bCs/>
        </w:rPr>
        <w:t xml:space="preserve">ebagaimana fungsi stakeholder dalam struktur pendidikan berfungsi untuk </w:t>
      </w:r>
      <w:r w:rsidRPr="0064316E">
        <w:t>memberi masukan dan rekomendasi kepada satuan pendidikan mengenai peran pertimbangan (</w:t>
      </w:r>
      <w:r w:rsidRPr="0064316E">
        <w:rPr>
          <w:i/>
          <w:iCs/>
        </w:rPr>
        <w:t>Advisory</w:t>
      </w:r>
      <w:r w:rsidRPr="0064316E">
        <w:t>), pendukung (</w:t>
      </w:r>
      <w:r w:rsidRPr="0064316E">
        <w:rPr>
          <w:i/>
          <w:iCs/>
        </w:rPr>
        <w:t>Supporting</w:t>
      </w:r>
      <w:r w:rsidRPr="0064316E">
        <w:t>), pengontrol (</w:t>
      </w:r>
      <w:r w:rsidRPr="0064316E">
        <w:rPr>
          <w:i/>
          <w:iCs/>
        </w:rPr>
        <w:t>Controlling</w:t>
      </w:r>
      <w:r w:rsidRPr="0064316E">
        <w:t xml:space="preserve">), dan mediator </w:t>
      </w:r>
      <w:r w:rsidRPr="0064316E">
        <w:fldChar w:fldCharType="begin" w:fldLock="1"/>
      </w:r>
      <w:r w:rsidRPr="0064316E">
        <w:instrText>ADDIN CSL_CITATION {"citationItems":[{"id":"ITEM-1","itemData":{"DOI":"10.47467/edui.v3i2.3639","ISSN":"2774-5058","abstract":" \r  \r           This study aims to describe the role and participation of school committees in realizing quality schools. This research is a library research and content analysis (content analysis). This study produced the following findings: 1. Role of Advisory. In carrying out this role, the school committee has the function of providing input and recommendations to education units regarding: (1) educational policies and programs (2). School Revenue and Expenditure Budget Plan (RAPBS), (3). educational unit performance criteria (4). educational staff criteria (5). criteria for educational facilities (6). other matters related to education. 2. Supporting Role (Supporting). This supporting role includes the function of the school committee to do the following: (1). encourage parents and the community to participate in education (2). raise public funds in the framework of financing (3). encourage the growth of public attention and commitment to the implementation of quality education. 3. Controlling Role (Controlling). This controlling role includes the efforts of the school committee in the following: (1). evaluate and supervise program policies, implementation, and educational outputs. 4. Role of Mediator. This mediator role enables the school committee to carry out the following functions: (1). collaborate with the community (2). accommodate and analyze aspirations, ideas, demands, and various educational needs put forward by the community.\r Key words: participation, quality, community, school committee","author":[{"dropping-particle":"","family":"Suryana","given":"Agus","non-dropping-particle":"","parse-names":false,"suffix":""}],"container-title":"EduInovasi: Journal of Basic Educational Studies","id":"ITEM-1","issue":"2","issued":{"date-parts":[["2023"]]},"page":"337-349","title":"Partisipasi Komite Sekolah  Dalam  Meningkatkan Mutu Sekolah","type":"article-journal","volume":"3"},"uris":["http://www.mendeley.com/documents/?uuid=b7fc711e-3f27-4f39-a61d-447b1a8d0fde"]}],"mendeley":{"formattedCitation":"(Suryana, 2023)","plainTextFormattedCitation":"(Suryana, 2023)","previouslyFormattedCitation":"(Suryana, 2023)"},"properties":{"noteIndex":0},"schema":"https://github.com/citation-style-language/schema/raw/master/csl-citation.json"}</w:instrText>
      </w:r>
      <w:r w:rsidRPr="0064316E">
        <w:fldChar w:fldCharType="separate"/>
      </w:r>
      <w:r w:rsidRPr="0064316E">
        <w:rPr>
          <w:noProof/>
        </w:rPr>
        <w:t>(Suryana, 2023)</w:t>
      </w:r>
      <w:r w:rsidRPr="0064316E">
        <w:fldChar w:fldCharType="end"/>
      </w:r>
      <w:r w:rsidRPr="0064316E">
        <w:t xml:space="preserve">. </w:t>
      </w:r>
      <w:r w:rsidRPr="0064316E">
        <w:rPr>
          <w:bCs/>
        </w:rPr>
        <w:t xml:space="preserve">Stakeholder berdasarkan UU Sistem Pendidikan Nasional No. 20 tahun 2003 pasal 56 yang terdiri dari masyarakat, dewan pendidikan, dan komite sekolah. </w:t>
      </w:r>
      <w:r w:rsidRPr="0064316E">
        <w:t xml:space="preserve">Keterlibatan aktif stakeholder berperan dalam meningkatkan keberhasilan program pendidikan dan memperkuat hubungan antara sekolah dan masyarakat </w:t>
      </w:r>
      <w:r w:rsidRPr="0064316E">
        <w:fldChar w:fldCharType="begin" w:fldLock="1"/>
      </w:r>
      <w:r w:rsidRPr="0064316E">
        <w:instrText>ADDIN CSL_CITATION {"citationItems":[{"id":"ITEM-1","itemData":{"DOI":"10.47467/edui.v3i2.3639","ISSN":"2774-5058","abstract":" \r  \r           This study aims to describe the role and participation of school committees in realizing quality schools. This research is a library research and content analysis (content analysis). This study produced the following findings: 1. Role of Advisory. In carrying out this role, the school committee has the function of providing input and recommendations to education units regarding: (1) educational policies and programs (2). School Revenue and Expenditure Budget Plan (RAPBS), (3). educational unit performance criteria (4). educational staff criteria (5). criteria for educational facilities (6). other matters related to education. 2. Supporting Role (Supporting). This supporting role includes the function of the school committee to do the following: (1). encourage parents and the community to participate in education (2). raise public funds in the framework of financing (3). encourage the growth of public attention and commitment to the implementation of quality education. 3. Controlling Role (Controlling). This controlling role includes the efforts of the school committee in the following: (1). evaluate and supervise program policies, implementation, and educational outputs. 4. Role of Mediator. This mediator role enables the school committee to carry out the following functions: (1). collaborate with the community (2). accommodate and analyze aspirations, ideas, demands, and various educational needs put forward by the community.\r Key words: participation, quality, community, school committee","author":[{"dropping-particle":"","family":"Suryana","given":"Agus","non-dropping-particle":"","parse-names":false,"suffix":""}],"container-title":"EduInovasi: Journal of Basic Educational Studies","id":"ITEM-1","issue":"2","issued":{"date-parts":[["2023"]]},"page":"337-349","title":"Partisipasi Komite Sekolah  Dalam  Meningkatkan Mutu Sekolah","type":"article-journal","volume":"3"},"uris":["http://www.mendeley.com/documents/?uuid=b7fc711e-3f27-4f39-a61d-447b1a8d0fde"]}],"mendeley":{"formattedCitation":"(Suryana, 2023)","plainTextFormattedCitation":"(Suryana, 2023)","previouslyFormattedCitation":"(Suryana, 2023)"},"properties":{"noteIndex":0},"schema":"https://github.com/citation-style-language/schema/raw/master/csl-citation.json"}</w:instrText>
      </w:r>
      <w:r w:rsidRPr="0064316E">
        <w:fldChar w:fldCharType="separate"/>
      </w:r>
      <w:r w:rsidRPr="0064316E">
        <w:rPr>
          <w:noProof/>
        </w:rPr>
        <w:t>(Suryana, 2023)</w:t>
      </w:r>
      <w:r w:rsidRPr="0064316E">
        <w:fldChar w:fldCharType="end"/>
      </w:r>
      <w:r w:rsidRPr="0064316E">
        <w:t>.</w:t>
      </w:r>
      <w:r w:rsidRPr="0064316E">
        <w:rPr>
          <w:bCs/>
        </w:rPr>
        <w:t xml:space="preserve"> </w:t>
      </w:r>
      <w:r w:rsidRPr="0064316E">
        <w:t xml:space="preserve">Bahwasannya untuk menciptakan lingkungan belajar yang baik dibutuhkan kerjasama antara </w:t>
      </w:r>
      <w:r w:rsidRPr="0064316E">
        <w:rPr>
          <w:bCs/>
        </w:rPr>
        <w:t>masyarakat, dewan pendidikan, dan komite sekolah</w:t>
      </w:r>
      <w:r w:rsidRPr="0064316E">
        <w:rPr>
          <w:lang w:val="sv-SE"/>
        </w:rPr>
        <w:t xml:space="preserve"> </w:t>
      </w:r>
      <w:r w:rsidRPr="0064316E">
        <w:rPr>
          <w:lang w:val="sv-SE"/>
        </w:rPr>
        <w:fldChar w:fldCharType="begin" w:fldLock="1"/>
      </w:r>
      <w:r w:rsidRPr="0064316E">
        <w:instrText>ADDIN CSL_CITATION {"citationItems":[{"id":"ITEM-1","itemData":{"DOI":"10.51494/jpdf.v3i2.704","ISSN":"2721-9003","abstract":"Abstract: Children with special needs have the same rights as children in general to get an education. Unfortunately, the availability of adequate education for children with special needs is not adequate and equal. Because the provision of special schools only in big cities. Inclusive education comes as an alternative solution to overcome the social problems of Children with Special Needs (ABK). The purpose of establishing inclusive education is to minimize the impact caused by an exclusive attitude. In addition, inclusive education also has several problems because both schools, communities and teachers do not fully understand and know how to implement inclusive schools in accordance with existing rules. In this article using descriptive research methods to find out more deeply what problems are faced by schools, especially related to the implementation of inclusive education. society, and government.","author":[{"dropping-particle":"","family":"Pratiwi","given":"Laura Tyas","non-dropping-particle":"","parse-names":false,"suffix":""},{"dropping-particle":"","family":"Maghfiroh","given":"Meilani Nur","non-dropping-particle":"","parse-names":false,"suffix":""},{"dropping-particle":"","family":"Andika","given":"Dimas Septa","non-dropping-particle":"","parse-names":false,"suffix":""},{"dropping-particle":"","family":"Marcela","given":"Intan Nur","non-dropping-particle":"","parse-names":false,"suffix":""},{"dropping-particle":"","family":"Afifah","given":"Awayna Faza","non-dropping-particle":"","parse-names":false,"suffix":""}],"container-title":"Jurnal Pendidikan Dasar Flobamorata","id":"ITEM-1","issue":"2","issued":{"date-parts":[["2022"]]},"page":"314-318","title":"Permasalahan yang Dihadapi Dalam Pelaksanaan Sekolah Inklusi Di Indonesia","type":"article-journal","volume":"3"},"uris":["http://www.mendeley.com/documents/?uuid=9cb96b76-0534-4760-a608-8b728e1a1149"]}],"mendeley":{"formattedCitation":"(Pratiwi et al., 2022)","plainTextFormattedCitation":"(Pratiwi et al., 2022)","previouslyFormattedCitation":"(Pratiwi et al., 2022)"},"properties":{"noteIndex":0},"schema":"https://github.com/citation-style-language/schema/raw/master/csl-citation.json"}</w:instrText>
      </w:r>
      <w:r w:rsidRPr="0064316E">
        <w:rPr>
          <w:lang w:val="sv-SE"/>
        </w:rPr>
        <w:fldChar w:fldCharType="separate"/>
      </w:r>
      <w:r w:rsidRPr="0064316E">
        <w:rPr>
          <w:noProof/>
        </w:rPr>
        <w:t>(Pratiwi et al., 2022)</w:t>
      </w:r>
      <w:r w:rsidRPr="0064316E">
        <w:fldChar w:fldCharType="end"/>
      </w:r>
      <w:r w:rsidRPr="0064316E">
        <w:t xml:space="preserve">. Dengan adanya hambatan yang telah disebutkan, terkait pendanaan dan pengadaan sarana dan prasarana olahraga di sekolah baiknya lebih diutamakan oleh stakeholder. Hal ini, berhubungan dengan frekuensi partisipasi aktvitas fisik di lingkungan sekolah bagi siswa. </w:t>
      </w:r>
    </w:p>
    <w:p w14:paraId="481CD1FA" w14:textId="17457C2F" w:rsidR="0064316E" w:rsidRPr="0064316E" w:rsidRDefault="0064316E" w:rsidP="0064316E">
      <w:pPr>
        <w:pStyle w:val="Heading4"/>
        <w:ind w:firstLine="567"/>
      </w:pPr>
      <w:r w:rsidRPr="0064316E">
        <w:t xml:space="preserve">Fungsi inspiratif pendidikan jasmani pada area urban dalam pengembangan karakter sosial yang positif telah dilakukan melalui interaksi teman sebaya, guru, dan masyarakat sekolah yang baik, serta pengondisian siswa secara sportif, tanggung jawab, jujur, dan disiplin pada aktivitas fisik di lingkungan sekolah. Pelaksanaan pembelajaran ini, telah sesuai dengan capaian per-elemen diantaranya terampil bergerak, belajar melalui gerak, bergaya hidup aktif, dan memilih hidup yang menyehatkan. Pemenuhan terhadap karakter hidup aktif tidak hanya meningkatkan kesehatan fisik tetapi juga mental, membantu peserta didik agar lebih fokus, dan mencegah berbagai penyakit kronis di kemudian hari </w:t>
      </w:r>
      <w:r w:rsidRPr="0064316E">
        <w:fldChar w:fldCharType="begin" w:fldLock="1"/>
      </w:r>
      <w:r>
        <w:instrText>ADDIN CSL_CITATION {"citationItems":[{"id":"ITEM-1","itemData":{"DOI":"10.3389/fpsyg.2019.02115","ISSN":"16641078","abstract":"Adults (more than 18 years old) are likely to reproduce the habits that they acquired during childhood and adolescence (from 6 to 16 years old). For that reason, teachers and parents have the responsibility to promote an active and healthy lifestyle in children and adolescents. Even though every school subject should promote healthy activities, Physical Education (PE) is the most important subject to foster well-being habits associated to healthy lifestyle during sport practice and other kinds of active tasks. Indeed, there are many factors that influence the acquisition of healthy habits that should be taken into account when programs and activities are implemented in both educational and extracurricular context. In this sense, psychological and social factors are of utmost importance to achieve optimal experiences for an active and healthy lifestyle. However, due to the myriad of studies analyzing different factors in different contexts, there could be confusion when programs and pedagogical strategies are applied in educational or extracurricular contexts. The objective of this investigation is to analyse the state of art of the psychosocial factors which influence the engagement in physical activities and sport practice. The keywords used in this review were mainly: “Self-Determination Theory,” “(intrinsic) motivation,” “Psychological need satisfaction,” “physical activity and sport engagement,” “Elementary Education,” “Secondary Education,” “Physical Education.” In addition, the Boolean data type “and,” “or,” and “not” were also used. The articles were selected according to the following criteria: (a) peer-reviewed original research published in international journals indexed in JCR or SJR, (b) published in English or Spanish, (c) about psychosocial factors which influence the physical activity and sport engagement, (d) in educational or extracurricular context. Research articles selected were found through Web of Science, Scopus, Google Scholar, SportDiscus (EBSCO-host), ERIC, PubMed, Medline, and PsycInfo databases. It was observed that physical activities and sport practice engagement are closely related to psychological factors. In particularly, intrinsic motivation was able to determine the active participation in any activity, including physical activity and sport practice during the implementation of Small-Sided Games and other kinds of pedagogical strategies (e.g., Pedagogical Models). Motivation was also closely related to flow state. Fina…","author":[{"dropping-particle":"","family":"Sierra-Díaz","given":"Manuel Jacob","non-dropping-particle":"","parse-names":false,"suffix":""},{"dropping-particle":"","family":"González-Víllora","given":"Sixto","non-dropping-particle":"","parse-names":false,"suffix":""},{"dropping-particle":"","family":"Pastor-Vicedo","given":"Juan Carlos","non-dropping-particle":"","parse-names":false,"suffix":""},{"dropping-particle":"","family":"López-Sánchez","given":"Guillermo Felipe","non-dropping-particle":"","parse-names":false,"suffix":""}],"container-title":"Frontiers in Psychology","id":"ITEM-1","issue":"October","issued":{"date-parts":[["2019"]]},"title":"Can We Motivate Students to Practice Physical Activities and Sports Through Models-Based Practice? A Systematic Review and Meta-Analysis of Psychosocial Factors Related to Physical Education","type":"article-journal","volume":"10"},"uris":["http://www.mendeley.com/documents/?uuid=cdb9ef7c-25ad-4399-9289-e5f93567ea5f"]}],"mendeley":{"formattedCitation":"(Sierra-Díaz et al., 2019)","plainTextFormattedCitation":"(Sierra-Díaz et al., 2019)","previouslyFormattedCitation":"(Sierra-Díaz, González-Víllora, Pastor-Vicedo, &amp; López-Sánchez, 2019)"},"properties":{"noteIndex":0},"schema":"https://github.com/citation-style-language/schema/raw/master/csl-citation.json"}</w:instrText>
      </w:r>
      <w:r w:rsidRPr="0064316E">
        <w:fldChar w:fldCharType="separate"/>
      </w:r>
      <w:r w:rsidRPr="0064316E">
        <w:rPr>
          <w:noProof/>
        </w:rPr>
        <w:t>(Sierra-Díaz et al., 2019)</w:t>
      </w:r>
      <w:r w:rsidRPr="0064316E">
        <w:fldChar w:fldCharType="end"/>
      </w:r>
      <w:r w:rsidRPr="0064316E">
        <w:t>.</w:t>
      </w:r>
    </w:p>
    <w:p w14:paraId="14B04023" w14:textId="77777777" w:rsidR="0064316E" w:rsidRPr="0064316E" w:rsidRDefault="0064316E" w:rsidP="0064316E">
      <w:pPr>
        <w:pStyle w:val="Heading4"/>
        <w:ind w:firstLine="567"/>
        <w:rPr>
          <w:lang w:val="sv-SE"/>
        </w:rPr>
      </w:pPr>
      <w:r w:rsidRPr="0064316E">
        <w:t xml:space="preserve">Kemudian terkait keberlanjutan program pendidikan jasmani di area urban, pada upaya keikutsertaan pada event olahraga telah dimunculkan melalui event O2SN, classmeeting dan event nasional lain. Sedangkan untuk pengadaan event secara mandiri beberapa sekolah menyatakan bahwa memiliki </w:t>
      </w:r>
      <w:r w:rsidRPr="0064316E">
        <w:rPr>
          <w:lang w:val="sv-SE"/>
        </w:rPr>
        <w:t xml:space="preserve">anggaran dana yang terbatas. </w:t>
      </w:r>
      <w:r w:rsidRPr="0064316E">
        <w:t xml:space="preserve">Selain itu, limbah peralatan yang digunakan untuk persiapan maupun pasca event diolah secara mandiri melalui kegiatan reduce, reuse, recycle. </w:t>
      </w:r>
      <w:r w:rsidRPr="0064316E">
        <w:rPr>
          <w:lang w:val="sv-SE"/>
        </w:rPr>
        <w:t xml:space="preserve">Melalui </w:t>
      </w:r>
      <w:r w:rsidRPr="0064316E">
        <w:rPr>
          <w:lang w:val="sv-SE"/>
        </w:rPr>
        <w:lastRenderedPageBreak/>
        <w:t xml:space="preserve">keikutsertaan dalam event olahraga, siswa dapat mengasah keterampilan motorik, meningkatkan kebugaran jasmani, serta belajar nilai-nilai seperti sportivitas, disiplin, kerja sama tim, dan semangat kompetitif yang sehat. Selain itu, event olahraga memberikan kesempatan bagi siswa untuk mengekspresikan diri, membangun rasa percaya diri, serta menjalin hubungan sosial yang positif dengan teman sebaya </w:t>
      </w:r>
      <w:r w:rsidRPr="0064316E">
        <w:rPr>
          <w:lang w:val="sv-SE"/>
        </w:rPr>
        <w:fldChar w:fldCharType="begin" w:fldLock="1"/>
      </w:r>
      <w:r w:rsidRPr="0064316E">
        <w:rPr>
          <w:lang w:val="sv-SE"/>
        </w:rPr>
        <w:instrText>ADDIN CSL_CITATION {"citationItems":[{"id":"ITEM-1","itemData":{"DOI":"10.69543/1tekwk98","abstract":"Background: Sports activities are not just physical exercise, but are also the key to opening the door to increasing self-confidence for high school students. This research explores the positive impact of sports activities on students' psychological aspects, especially self-confidence. Methods: This research is a correlational descriptive study which aims to determine whether there are benefits of sports physical activity in increasing the self-confidence of high school students. The research involved a sample of 60 high school students using random sampling techniques. The research instruments are questionnaires and documentation. Data were analyzed using SPSS version 21 statistical software. Results: The results of the analysis show that there is a positive relationship between learning achievement and emotional intelligence of high school students, with a significance value (p &lt; 0.05). Conclusion: In conclusion, our research has illuminated the profound positive impact of sports activities on enhancing student confidence across various domains. Through a comprehensive exploration of literature and empirical analysis, we have uncovered compelling evidence supporting the multifaceted benefits of sports participation in bolstering students' self-assurance and self-belief.","author":[{"dropping-particle":"","family":"Suardika","given":"I Kadek","non-dropping-particle":"","parse-names":false,"suffix":""},{"dropping-particle":"","family":"Adelina","given":"Cindya","non-dropping-particle":"","parse-names":false,"suffix":""}],"container-title":"International Sport Edelweiss Journal","id":"ITEM-1","issue":"01","issued":{"date-parts":[["2024"]]},"page":"10-18","title":"Benefits of Sports Activities on Increasing Student Confidence","type":"article-journal","volume":"1"},"uris":["http://www.mendeley.com/documents/?uuid=caf32ca1-6922-497e-bd26-31ff1b4b5e0c"]}],"mendeley":{"formattedCitation":"(Suardika &amp; Adelina, 2024)","plainTextFormattedCitation":"(Suardika &amp; Adelina, 2024)","previouslyFormattedCitation":"(Suardika &amp; Adelina, 2024)"},"properties":{"noteIndex":0},"schema":"https://github.com/citation-style-language/schema/raw/master/csl-citation.json"}</w:instrText>
      </w:r>
      <w:r w:rsidRPr="0064316E">
        <w:rPr>
          <w:lang w:val="sv-SE"/>
        </w:rPr>
        <w:fldChar w:fldCharType="separate"/>
      </w:r>
      <w:r w:rsidRPr="0064316E">
        <w:rPr>
          <w:noProof/>
          <w:lang w:val="sv-SE"/>
        </w:rPr>
        <w:t>(Suardika &amp; Adelina, 2024)</w:t>
      </w:r>
      <w:r w:rsidRPr="0064316E">
        <w:fldChar w:fldCharType="end"/>
      </w:r>
      <w:r w:rsidRPr="0064316E">
        <w:rPr>
          <w:lang w:val="sv-SE"/>
        </w:rPr>
        <w:t>.</w:t>
      </w:r>
    </w:p>
    <w:p w14:paraId="489929CC" w14:textId="77777777" w:rsidR="0064316E" w:rsidRPr="0064316E" w:rsidRDefault="0064316E" w:rsidP="0064316E">
      <w:pPr>
        <w:pStyle w:val="Heading4"/>
        <w:ind w:firstLine="567"/>
      </w:pPr>
      <w:r w:rsidRPr="0064316E">
        <w:rPr>
          <w:lang w:val="sv-SE"/>
        </w:rPr>
        <w:t>Kajian teoritik oleh ahli sangat penting dalam pembelajaran pendidikan jasmani karena memberikan landasan ilmiah yang kuat untuk merancang, melaksanakan, dan mengevaluasi proses pembelajaran secara efektif dan bertanggung jawab. Melalui teori-teori yang dikembangkan oleh para ahli, guru pendidikan jasmani dapat memahami prinsip-prinsip perkembangan motorik, psikologi belajar, pedagogi olahraga, hingga aspek sosial dan emosional peserta didik.</w:t>
      </w:r>
      <w:r w:rsidRPr="0064316E">
        <w:t xml:space="preserve"> Berdasarkan pernyataan, kajian teoritik oleh ahli pembelajaran di lingkungan sekolah dimunculkan melalui kegiatan MGMP dalam perancangan perangkat ajar, serta telah didapati fungsi kolaboratif ahli melalui kegiatan uji coba dan riset, webina, serta seminar dan lokakarya pada bidang pendidikan jasmani. </w:t>
      </w:r>
    </w:p>
    <w:p w14:paraId="36E561F5" w14:textId="77777777" w:rsidR="0064316E" w:rsidRPr="0064316E" w:rsidRDefault="0064316E" w:rsidP="0064316E">
      <w:pPr>
        <w:pStyle w:val="Heading4"/>
        <w:ind w:firstLine="567"/>
      </w:pPr>
      <w:r w:rsidRPr="0064316E">
        <w:rPr>
          <w:lang w:val="sv-SE"/>
        </w:rPr>
        <w:t>Profesionalitas dalam pembelajaran pendidikan jasmani sangat penting untuk menjamin kualitas, efektivitas, dan integritas proses pendidikan yang berlangsung. Seorang guru yang profesional tidak hanya menguasai materi dan keterampilan jasmani, tetapi juga mampu merancang pembelajaran yang sesuai dengan kebutuhan siswa, menerapkan pendekatan pedagogis yang tepat, serta menjaga etika dan tanggung jawab dalam setiap tindakan.</w:t>
      </w:r>
      <w:r w:rsidRPr="0064316E">
        <w:t xml:space="preserve"> Pada aspek profesionalitas guru pendidikan jasmani, pada area urban berdasarkan kualifikasi telah sesuai dengan ijasah, kemudian peningkatan profesionalitas guru dilakukan melalui musyawarah Guru Mata Pelajaran (MGMP), diseminasi program pengembangan kompetensi Guru PJOK, seminar &amp; karya ilmiah, webinar, workshop, dan program guru tamu.</w:t>
      </w:r>
    </w:p>
    <w:p w14:paraId="18EBCE98" w14:textId="254D326E" w:rsidR="0064316E" w:rsidRPr="0064316E" w:rsidRDefault="0064316E" w:rsidP="0064316E">
      <w:pPr>
        <w:pStyle w:val="Heading4"/>
        <w:ind w:firstLine="567"/>
      </w:pPr>
      <w:r w:rsidRPr="0064316E">
        <w:t xml:space="preserve">Berdasarkan aspek ketersediaan sarana &amp; prasarana, pada indikator perlengkapan, fasilitas, dan pakaian olahraga. Pada daerah urban, </w:t>
      </w:r>
      <w:r w:rsidRPr="0064316E">
        <w:rPr>
          <w:bCs/>
        </w:rPr>
        <w:t xml:space="preserve">sarana olahraga cukup terpenuhi dengan baik dan sesuai standar. Namun masih didapati prasarana yang terbatas dan tidak sesuai dengan rasio antara jumlah peserta didik dengan peralatan yang dimiliki.  </w:t>
      </w:r>
      <w:r w:rsidRPr="0064316E">
        <w:t xml:space="preserve">Kurangnya sarpras dapat mengakibatkan peserta didik harus mengantri untuk menggunakan fasilitas yang ada, sehingga waktu aktif belajar berkurang dan peserta didik menjadi bosan </w:t>
      </w:r>
      <w:r w:rsidRPr="0064316E">
        <w:fldChar w:fldCharType="begin" w:fldLock="1"/>
      </w:r>
      <w:r w:rsidRPr="0064316E">
        <w:instrText>ADDIN CSL_CITATION {"citationItems":[{"id":"ITEM-1","itemData":{"abstract":"Kurangnya sarana dan prasarana pada pembelajaran PJOK mengakibatkan siswa akan mengantri untuk menggunakan sarana yang ada, sehingga pada saat pelaksanaan pembelajaran PJOK siswa akan lebih banyak diam dan menjadi bosan. Oleh sebab itu …","author":[{"dropping-particle":"","family":"Setiawan","given":"I Made","non-dropping-particle":"","parse-names":false,"suffix":""}],"container-title":"Jurnal Ilmu Keolahragaan Undiksha","id":"ITEM-1","issue":"1","issued":{"date-parts":[["2021"]]},"page":"18-24","title":"Ketersediaan Guru , Sarana dan Prasarana Pembelajaran Pendidikan Jasmani Olahraga dan Kesehatan di Sekolah Dasar","type":"article-journal","volume":"9"},"uris":["http://www.mendeley.com/documents/?uuid=e53936eb-5df7-495f-860e-8853f5ea5137"]}],"mendeley":{"formattedCitation":"(Setiawan, 2021)","plainTextFormattedCitation":"(Setiawan, 2021)","previouslyFormattedCitation":"(Setiawan, 2021)"},"properties":{"noteIndex":0},"schema":"https://github.com/citation-style-language/schema/raw/master/csl-citation.json"}</w:instrText>
      </w:r>
      <w:r w:rsidRPr="0064316E">
        <w:fldChar w:fldCharType="separate"/>
      </w:r>
      <w:r w:rsidRPr="0064316E">
        <w:rPr>
          <w:noProof/>
        </w:rPr>
        <w:t>(Setiawan, 2021)</w:t>
      </w:r>
      <w:r w:rsidRPr="0064316E">
        <w:fldChar w:fldCharType="end"/>
      </w:r>
      <w:r w:rsidRPr="0064316E">
        <w:t xml:space="preserve">. Padahal, ketersediaan sarpras dapat meningkatkan kenyamanan, efisiensi, dan efektivitas pembelajaran </w:t>
      </w:r>
      <w:r w:rsidRPr="0064316E">
        <w:fldChar w:fldCharType="begin" w:fldLock="1"/>
      </w:r>
      <w:r>
        <w:instrText>ADDIN CSL_CITATION {"citationItems":[{"id":"ITEM-1","itemData":{"DOI":"10.17977/um065v2i92022p905-915","abstract":"Abstract: The sarpras component is part of the school system and part of school accreditation. The existence of infrastructure management can support learning in schools to be effective and efficient. The type of research used is descriptive qualitative with the aim of exploring information data related to the benefits and maintenance of infrastructure facilities in elementary schools. The subjects used in this research were school principals, infrastructure managers, educators, and students. As for data collection techniques obtained by observation, in-depth interviews, and documentation. In addition, researchers analyze data using steps such as reducing data, displaying data, and drawing conclusions. From the needs analysis and self-assessment conducted at SD Harapan Bangsa Trilingual Elementary School, there are facilities such as: Adequate shelves/storage cabinets. books, textbooks, and props. As well as the process of analysis and evaluation of facilities and infrastructure that has been carefully thought out so that the facilities and infrastructure at the SD are good. All school members must carry out maintenance work to keep the facilities and infrastructure in good condition so that they can be used by teachers and students.\r Abstrak: Komponen sarpras yaitu bagian dari sistem di sekolah dan bagian dari akreditasi sekolah. Adanya manajemen sarpras dapat menunjang pembelajaran di sekolah menjadi efektif dan efisien. Jenis penelitian yang digunakan yaitu kualitatif deskriptif memiliki tujuan untuk menggali data informasi terkait manfaat dan perawatan sarpras pada sekolah dasar. Subjek yang digunakan penelitian yaitu kepala sekolah, pengelola sarpras, pendidik,  peserta didik. Adapun teknik pengumpulan data diperoleh observasi, wawancara mendalam, serta dokumentasi. Selain itu, peneliti menganalisis data menggunakan langkah-langkah seperti merreduksi data, mendisplay data, serta menarik kesimpulan. Dari analisis kebutuhan dan penilaian diri SD Harapan Bangsa Tribahasa yang dilakukan terdapat fasilitas seperti: Rak/lemari penyimpanan yang memadai. buku, buku teks, dan alat peraga. Serta adanya proses analisis dan evaluasi sarana dan prasarana telah dipikirkan dengan matang sehingga sarana dan prasana di SD tersebut telah baik. Semua warga sekolah harus melakukan pekerjaan pemeliharaan untuk menjaga sarana dan prasarana dalam kondisi baik agar dapat digunakan untuk guru dan siswa.","author":[{"dropping-particle":"","family":"Anugrahwati","given":"Citra","non-dropping-particle":"","parse-names":false,"suffix":""},{"dropping-particle":"","family":"Mahmud","given":"Dini Rosyada","non-dropping-particle":"","parse-names":false,"suffix":""},{"dropping-particle":"","family":"Wuwur","given":"Erwin Simon Paulus Olak","non-dropping-particle":"","parse-names":false,"suffix":""}],"container-title":"Jurnal Pembelajaran, Bimbingan, dan Pengelolaan Pendidikan","id":"ITEM-1","issue":"9","issued":{"date-parts":[["2022"]]},"page":"905-915","title":"Analisis Manajemen Sarana dan Prasarana di Sekolah Dasar","type":"article-journal","volume":"2"},"uris":["http://www.mendeley.com/documents/?uuid=b345c3ee-2b13-4f24-a23d-84e4451c2487"]}],"mendeley":{"formattedCitation":"(Anugrahwati et al., 2022)","plainTextFormattedCitation":"(Anugrahwati et al., 2022)","previouslyFormattedCitation":"(Anugrahwati, Mahmud, &amp; Wuwur, 2022)"},"properties":{"noteIndex":0},"schema":"https://github.com/citation-style-language/schema/raw/master/csl-citation.json"}</w:instrText>
      </w:r>
      <w:r w:rsidRPr="0064316E">
        <w:fldChar w:fldCharType="separate"/>
      </w:r>
      <w:r w:rsidRPr="0064316E">
        <w:rPr>
          <w:noProof/>
        </w:rPr>
        <w:t>(Anugrahwati et al., 2022)</w:t>
      </w:r>
      <w:r w:rsidRPr="0064316E">
        <w:fldChar w:fldCharType="end"/>
      </w:r>
      <w:r w:rsidRPr="0064316E">
        <w:t xml:space="preserve">. Untuk mengatasi hal ini, </w:t>
      </w:r>
      <w:r w:rsidRPr="0064316E">
        <w:rPr>
          <w:bCs/>
        </w:rPr>
        <w:t xml:space="preserve">baiknya </w:t>
      </w:r>
      <w:r w:rsidRPr="0064316E">
        <w:t xml:space="preserve">sekolah dapat merencanakan pengadaan sarpras secara bertahap sesuai dengan prioritas kebutuhan dan anggaran yang tersedia, kemudian pihak sekolah melalui guru terkait dapat mengikuti pelatihan untuk mengelola dan memanfaatkan sarpras secara efektif dalam proses pembelajaran. </w:t>
      </w:r>
    </w:p>
    <w:p w14:paraId="296167D9" w14:textId="77777777" w:rsidR="0064316E" w:rsidRPr="0064316E" w:rsidRDefault="0064316E" w:rsidP="0064316E">
      <w:pPr>
        <w:pStyle w:val="Heading4"/>
        <w:ind w:firstLine="567"/>
      </w:pPr>
      <w:r w:rsidRPr="0064316E">
        <w:t xml:space="preserve">Manajemen risiko dalam pembelajaran pendidikan jasmani sangat penting untuk mengidentifikasi, mengantisipasi, dan meminimalkan potensi bahaya yang dapat mengganggu keselamatan peserta didik selama kegiatan fisik berlangsung </w:t>
      </w:r>
      <w:r w:rsidRPr="0064316E">
        <w:fldChar w:fldCharType="begin" w:fldLock="1"/>
      </w:r>
      <w:r w:rsidRPr="0064316E">
        <w:instrText>ADDIN CSL_CITATION {"citationItems":[{"id":"ITEM-1","itemData":{"DOI":"10.25236/fer.2024.070104","ISSN":"25226398","author":[{"dropping-particle":"","family":"Yang","given":"Yang","non-dropping-particle":"","parse-names":false,"suffix":""}],"container-title":"Frontiers in Educational Research","id":"ITEM-1","issue":"1","issued":{"date-parts":[["2024"]]},"page":"29-36","title":"Research on Risk Management of School Physical Education under the Background of Integration of Sports and Education","type":"article-journal","volume":"7"},"uris":["http://www.mendeley.com/documents/?uuid=ecf6251e-e988-44ff-9979-d0629e6cb789"]}],"mendeley":{"formattedCitation":"(Yang, 2024)","plainTextFormattedCitation":"(Yang, 2024)","previouslyFormattedCitation":"(Yang, 2024)"},"properties":{"noteIndex":0},"schema":"https://github.com/citation-style-language/schema/raw/master/csl-citation.json"}</w:instrText>
      </w:r>
      <w:r w:rsidRPr="0064316E">
        <w:fldChar w:fldCharType="separate"/>
      </w:r>
      <w:r w:rsidRPr="0064316E">
        <w:rPr>
          <w:noProof/>
        </w:rPr>
        <w:t>(Yang, 2024)</w:t>
      </w:r>
      <w:r w:rsidRPr="0064316E">
        <w:fldChar w:fldCharType="end"/>
      </w:r>
      <w:r w:rsidRPr="0064316E">
        <w:t xml:space="preserve">. Berdasarkan pernyataan pada aspek manajemen resiko, dalam pembelajaran pendidikan jasmani diwujudkan dalam dua bentuk, diantaranya dalam menciptakan lingkungan fisik yang aman melalui peryataan bahwa pembelajaran yang dilaksanakan telah minim perundungan, deskriminasi, dan resiko cedera, serta perlindungan hak dan martabat siswa. Kemudian bentuk kedua adalah pada teknis penerapan, yaitu </w:t>
      </w:r>
      <w:r w:rsidRPr="0064316E">
        <w:rPr>
          <w:lang w:val="sv-SE"/>
        </w:rPr>
        <w:t xml:space="preserve">telah ada manajemen resiko cedera dan stress pada siswa pada saat pembelajaran berlangsung. </w:t>
      </w:r>
    </w:p>
    <w:p w14:paraId="18D9C660" w14:textId="60444D63" w:rsidR="0064316E" w:rsidRPr="0064316E" w:rsidRDefault="0064316E" w:rsidP="0064316E">
      <w:pPr>
        <w:pStyle w:val="Heading4"/>
        <w:ind w:firstLine="567"/>
      </w:pPr>
      <w:r w:rsidRPr="0064316E">
        <w:t xml:space="preserve">Keamanan psikologis dalam program pembelajaran pendidikan jasmani sangat penting untuk menciptakan lingkungan yang mendukung rasa percaya diri, kenyamanan, dan keberanian peserta didik dalam berpartisipasi aktif </w:t>
      </w:r>
      <w:r w:rsidRPr="0064316E">
        <w:fldChar w:fldCharType="begin" w:fldLock="1"/>
      </w:r>
      <w:r>
        <w:instrText>ADDIN CSL_CITATION {"citationItems":[{"id":"ITEM-1","itemData":{"DOI":"10.46838/spr.v4i3.433","abstract":"Penelitian ini bertujuan menyajikan pemahaman mendalam melalui Systematic Literature Review mengenai dimensi psikologis dalam proses pembelajaran renang. Metode yang digunakan adalah Systematic Literature Review dengan menggunakan Preferred Reporting Item for Systematic Reviews and Meta-Analytic. Pencarian artikel dilakukan melalui Google Scholar pada jurnal terakreditasi sinta dengan kata kunci \"pendidikan jasmani dalam pembelajaran renang.\" Artikel-artikel kemudian disaring berdasarkan kriteria inklusi dan eksklusi, dan dari 95 artikel yang diidentifikasi, hanya 10 yang dijadikan sumber utama dalam penelitian ini. Data yang diperoleh berasal dari penelitian-penelitian terdahulu yang relevan. Hasil penelitian menunjukkan bahwa pendidikan jasmani (penjas) memberikan kerangka kerja untuk mengelola aspek psikologis dalam pembelajaran renang. Aspek psikologis dalam pembelajaran renang mencakup sejumlah dimensi, termasuk rasa percaya diri siswa, minat, motivasi untuk mengembangkan keterampilan renang, manajemen stres terkait air, kemampuan untuk fokus dan konsentrasi, serta kemampuan mengatasi kegagalan dalam proses pembelajaran. Selain itu, interaksi sosial, kepuasan, dan kesenangan dalam kegiatan renang juga berperan penting, sementara penanganan kecemasan terhadap air merupakan aspek kritis untuk menciptakan lingkungan pembelajaran yang positif dan aman. Keseluruhan, aspek-aspek psikologis ini saling terkait dan berkontribusi pada pengalaman pembelajaran renang yang holistik.","author":[{"dropping-particle":"","family":"Kartikasari","given":"Desti","non-dropping-particle":"","parse-names":false,"suffix":""},{"dropping-particle":"","family":"Komariyah","given":"Lilis","non-dropping-particle":"","parse-names":false,"suffix":""},{"dropping-particle":"","family":"Rahmat","given":"Alit","non-dropping-particle":"","parse-names":false,"suffix":""}],"container-title":"SPRINTER: Jurnal Ilmu Olahraga","id":"ITEM-1","issue":"3","issued":{"date-parts":[["2023"]]},"page":"294-306","title":"Aspek Psikologis Dalam Pembelajaran Renang: Systematic Literature Review","type":"article-journal","volume":"4"},"uris":["http://www.mendeley.com/documents/?uuid=3f8ab75b-7f5f-4b4b-a2c5-406ed996e3ec"]}],"mendeley":{"formattedCitation":"(Kartikasari et al., 2023)","plainTextFormattedCitation":"(Kartikasari et al., 2023)","previouslyFormattedCitation":"(Kartikasari, Komariyah, &amp; Rahmat, 2023)"},"properties":{"noteIndex":0},"schema":"https://github.com/citation-style-language/schema/raw/master/csl-citation.json"}</w:instrText>
      </w:r>
      <w:r w:rsidRPr="0064316E">
        <w:fldChar w:fldCharType="separate"/>
      </w:r>
      <w:r w:rsidRPr="0064316E">
        <w:rPr>
          <w:noProof/>
        </w:rPr>
        <w:t>(Kartikasari et al., 2023)</w:t>
      </w:r>
      <w:r w:rsidRPr="0064316E">
        <w:fldChar w:fldCharType="end"/>
      </w:r>
      <w:r w:rsidRPr="0064316E">
        <w:t xml:space="preserve">. Pada aspek ini, berdasarkan pernyataan keamanan program pembelajaran telah melindungi siswa secara psikologis pada dampak instruksional yang diberikan. Peryataan ini didukung dengan bukti bahwa </w:t>
      </w:r>
      <w:r w:rsidRPr="0064316E">
        <w:rPr>
          <w:lang w:val="sv-SE"/>
        </w:rPr>
        <w:t>nilai-nilai positif telah diajarkan melalui nilai sportivitas, kejujuran, tolong menolong, disiplin, anti deskriminasi</w:t>
      </w:r>
    </w:p>
    <w:p w14:paraId="759C22D8" w14:textId="77777777" w:rsidR="0064316E" w:rsidRPr="0064316E" w:rsidRDefault="0064316E" w:rsidP="0064316E">
      <w:pPr>
        <w:pStyle w:val="Heading4"/>
        <w:ind w:firstLine="567"/>
        <w:rPr>
          <w:bCs/>
          <w:lang w:val="sv-SE"/>
        </w:rPr>
      </w:pPr>
      <w:r w:rsidRPr="0064316E">
        <w:t xml:space="preserve">Aspek nilai-nilai perdamaian dalam pembelajaran sudah diterapkan melalui penerapan nilai persatuan, perdamaian, kerukunan, gotong royong dalam pembelajaran. </w:t>
      </w:r>
      <w:r w:rsidRPr="0064316E">
        <w:rPr>
          <w:lang w:val="sv-SE"/>
        </w:rPr>
        <w:t xml:space="preserve">Nilai-nilai perdamaian </w:t>
      </w:r>
      <w:r w:rsidRPr="0064316E">
        <w:rPr>
          <w:lang w:val="sv-SE"/>
        </w:rPr>
        <w:lastRenderedPageBreak/>
        <w:t xml:space="preserve">sangat penting dalam pembelajaran karena membantu menciptakan lingkungan belajar yang inklusif, aman, dan harmonis, di mana setiap peserta didik merasa dihargai dan diterima tanpa diskriminasi </w:t>
      </w:r>
      <w:r w:rsidRPr="0064316E">
        <w:rPr>
          <w:lang w:val="sv-SE"/>
        </w:rPr>
        <w:fldChar w:fldCharType="begin" w:fldLock="1"/>
      </w:r>
      <w:r w:rsidRPr="0064316E">
        <w:rPr>
          <w:lang w:val="sv-SE"/>
        </w:rPr>
        <w:instrText>ADDIN CSL_CITATION {"citationItems":[{"id":"ITEM-1","itemData":{"DOI":"10.26822/iejee.2020459460","ISSN":"13079298","abstract":"It is very important for students and teachers to have a positive learning environment. The school that is an institution for educating children should be a peaceful and happy environment. There are principles such as love, respect, honesty, courage, empathy and kindness in the peaceful and happy schools. This study examined the concept of a “peaceful and happy school” and aimed to describe a peaceful and happy school from the point of view of primary school teachers and primary school students. It was designed with a case-study research model. A peaceful and happy school climate is the “case” of this study. The participants of the study consisted of 126 persons, 103 primary school students, and 23 primary school teachers from public schools in Turkey. Data were collected through face-to-face interviews from primary school students and teachers. Semi-structured interview form was used for both groups. At the end of the study, primary school teachers’ and students’ defini-tions of a peaceful and happy school were presented. It was understood from the findings that primary school students and teachers want to improve the same basic issues related to a peaceful and happy school.","author":[{"dropping-particle":"","family":"Calp","given":"</w:instrText>
      </w:r>
      <w:r w:rsidRPr="0064316E">
        <w:rPr>
          <w:rFonts w:ascii="Cambria" w:hAnsi="Cambria" w:cs="Cambria"/>
          <w:lang w:val="sv-SE"/>
        </w:rPr>
        <w:instrText>Ş</w:instrText>
      </w:r>
      <w:r w:rsidRPr="0064316E">
        <w:rPr>
          <w:lang w:val="sv-SE"/>
        </w:rPr>
        <w:instrText>ükran","non-dropping-particle":"","parse-names":false,"suffix":""}],"container-title":"International Electronic Journal of Elementary Education","id":"ITEM-1","issue":"4","issued":{"date-parts":[["2020"]]},"page":"311-320","title":"Peaceful and happy schools: How to build positive learning environments","type":"article-journal","volume":"12"},"uris":["http://www.mendeley.com/documents/?uuid=d245d45f-2a97-4fc3-b50a-d58654579a8f"]}],"mendeley":{"formattedCitation":"(Calp, 2020)","plainTextFormattedCitation":"(Calp, 2020)","previouslyFormattedCitation":"(Calp, 2020)"},"properties":{"noteIndex":0},"schema":"https://github.com/citation-style-language/schema/raw/master/csl-citation.json"}</w:instrText>
      </w:r>
      <w:r w:rsidRPr="0064316E">
        <w:rPr>
          <w:lang w:val="sv-SE"/>
        </w:rPr>
        <w:fldChar w:fldCharType="separate"/>
      </w:r>
      <w:r w:rsidRPr="0064316E">
        <w:rPr>
          <w:noProof/>
          <w:lang w:val="sv-SE"/>
        </w:rPr>
        <w:t>(Calp, 2020)</w:t>
      </w:r>
      <w:r w:rsidRPr="0064316E">
        <w:fldChar w:fldCharType="end"/>
      </w:r>
      <w:r w:rsidRPr="0064316E">
        <w:rPr>
          <w:lang w:val="sv-SE"/>
        </w:rPr>
        <w:t>. Dengan mengintegrasikan nilai-nilai perdamaian, pendidikan jasmani tidak hanya membentuk fisik yang sehat, akan tetapi juga kepribadian yang berbudaya dan kehidupan sosial yang damai.</w:t>
      </w:r>
    </w:p>
    <w:p w14:paraId="01F1ADBC" w14:textId="77777777" w:rsidR="0064316E" w:rsidRPr="0064316E" w:rsidRDefault="0064316E" w:rsidP="0064316E">
      <w:pPr>
        <w:pStyle w:val="Heading4"/>
        <w:ind w:firstLine="567"/>
        <w:rPr>
          <w:lang w:val="sv-SE"/>
        </w:rPr>
      </w:pPr>
      <w:r w:rsidRPr="0064316E">
        <w:t xml:space="preserve">Aspek kerjasama internasional </w:t>
      </w:r>
      <w:r w:rsidRPr="0064316E">
        <w:rPr>
          <w:lang w:val="sv-SE"/>
        </w:rPr>
        <w:t>didapati belum ada kerjasama internasional untuk menciptakan pendidikan jasmani yang unggul. Kerja sama internasional sangat penting dalam mewujudkan pendidikan jasmani yang unggul, karena dapat memungkinkan terjadinya pertukaran pengetahuan, kurikulum, metode pengajaran, dan teknologi pendidikan antarnegara. Melalui kolaborasi secara internasioanl, negara-negara dapat saling belajar dari praktik terbaik, inovasi, dan hasil riset terkini dalam bidang pendidikan jasmani, termasuk pengembangan inklusivitas, peningkatan kompetensi guru, dan penerapan standar internasional. Selain itu, kerja sama ini membuka peluang pelatihan bersama, konferensi ilmiah, serta program pertukaran pelajar dan tenaga pendidik yang memperkuat kapasitas dan kualitas pembelajaran. Dengan demikian, pendidikan jasmani dapat berkembang secara holistik, relevan secara global, dan mampu mencetak generasi yang sehat, tangguh, dan berdaya saing tinggi.</w:t>
      </w:r>
    </w:p>
    <w:p w14:paraId="2FA2C31D" w14:textId="77777777" w:rsidR="0064316E" w:rsidRPr="0064316E" w:rsidRDefault="0064316E" w:rsidP="0064316E">
      <w:pPr>
        <w:pStyle w:val="Heading4"/>
        <w:ind w:firstLine="567"/>
      </w:pPr>
      <w:r w:rsidRPr="0064316E">
        <w:t>Hasil pada penelitian ini mengerucut pada potensi pendidikan jasmani yang masih dapat dioptimalkan untuk mendorong budaya hidup aktif dan menekan prevalensi obesitas pada generasi muda. Meskipun begitu, berdasarkan piagam UNESCO pelaksanaan pendidikan jasmani masih perlu untuk dipersiapkan secara mendalam. Diantaranya peningkatan kompetensi guru dalam memberikan akomodasi yang merata sesuai dengan kebutuhan siswa. Peningkatan peran stakeholder dalam penyediaan fasilitas dan kerjasama internasional guna terwujudnya pendidikan jasmani yang unggul. Serta upaya optimal oleh guru dalam memberikan manfaat program pembelajaran untuk siswa, melalui penanaman nilai-nilai positif dan mempersiapkan siswa untuk menghadapi tantangan dalam kehidupan sehari-hari.</w:t>
      </w:r>
    </w:p>
    <w:p w14:paraId="122DD62F" w14:textId="122403C3" w:rsidR="00916AF8" w:rsidRDefault="00916AF8" w:rsidP="00916AF8">
      <w:pPr>
        <w:pStyle w:val="Heading4"/>
        <w:ind w:firstLine="567"/>
      </w:pPr>
    </w:p>
    <w:p w14:paraId="04A60C7E" w14:textId="77777777" w:rsidR="00916AF8" w:rsidRPr="00916AF8" w:rsidRDefault="00916AF8" w:rsidP="00916AF8">
      <w:pPr>
        <w:spacing w:before="0" w:beforeAutospacing="0" w:after="0" w:afterAutospacing="0"/>
        <w:rPr>
          <w:lang w:val="id-ID"/>
        </w:rPr>
      </w:pPr>
    </w:p>
    <w:p w14:paraId="2F276050" w14:textId="1F069492" w:rsidR="00980522" w:rsidRPr="001D4241" w:rsidRDefault="00980522" w:rsidP="00980522">
      <w:pPr>
        <w:pStyle w:val="Heading2"/>
        <w:spacing w:line="240" w:lineRule="auto"/>
      </w:pPr>
      <w:r>
        <w:t>KESIMPULAN</w:t>
      </w:r>
    </w:p>
    <w:p w14:paraId="56AE9A65" w14:textId="682E2443" w:rsidR="00617D1B" w:rsidRDefault="00980522" w:rsidP="00980522">
      <w:pPr>
        <w:pStyle w:val="Heading2"/>
        <w:spacing w:line="240" w:lineRule="auto"/>
        <w:ind w:firstLine="567"/>
        <w:rPr>
          <w:rFonts w:eastAsia="Calibri" w:cs="Arial"/>
          <w:b w:val="0"/>
          <w:caps w:val="0"/>
        </w:rPr>
      </w:pPr>
      <w:r w:rsidRPr="00481AD4">
        <w:rPr>
          <w:rFonts w:eastAsia="Calibri" w:cs="Arial"/>
          <w:b w:val="0"/>
          <w:caps w:val="0"/>
        </w:rPr>
        <w:t xml:space="preserve">Berdasarkan hasil </w:t>
      </w:r>
      <w:r w:rsidRPr="0027225F">
        <w:rPr>
          <w:rFonts w:eastAsia="Calibri" w:cs="Arial"/>
          <w:b w:val="0"/>
          <w:caps w:val="0"/>
          <w:lang w:val="id-ID"/>
        </w:rPr>
        <w:t xml:space="preserve">analisis data  </w:t>
      </w:r>
      <w:r w:rsidR="00617D1B">
        <w:rPr>
          <w:rFonts w:eastAsia="Calibri" w:cs="Arial"/>
          <w:b w:val="0"/>
          <w:caps w:val="0"/>
          <w:lang w:val="id-ID"/>
        </w:rPr>
        <w:t xml:space="preserve">terhadap 12 aspek dari butir piagam UNESCO didapati pernyataan negatif pada aspek </w:t>
      </w:r>
      <w:r w:rsidR="00617D1B" w:rsidRPr="00617D1B">
        <w:rPr>
          <w:rFonts w:eastAsia="Calibri" w:cs="Arial"/>
          <w:b w:val="0"/>
          <w:caps w:val="0"/>
        </w:rPr>
        <w:t>kesetaraan hak, kebermanfaatan program, kontribusi stakeholder, ketersediaan sarana &amp; prasarana, dan budaya hidup aktif</w:t>
      </w:r>
      <w:r w:rsidR="00617D1B">
        <w:rPr>
          <w:rFonts w:eastAsia="Calibri" w:cs="Arial"/>
          <w:b w:val="0"/>
          <w:caps w:val="0"/>
        </w:rPr>
        <w:t xml:space="preserve">, adapun saran yang dapat direkomendasikan diantaranya sebagai berikut :  </w:t>
      </w:r>
    </w:p>
    <w:p w14:paraId="33A1F5A7" w14:textId="73FBBA27" w:rsidR="005C53F4" w:rsidRDefault="00D3032B" w:rsidP="00001440">
      <w:pPr>
        <w:pStyle w:val="Heading2"/>
        <w:numPr>
          <w:ilvl w:val="0"/>
          <w:numId w:val="1"/>
        </w:numPr>
        <w:spacing w:line="240" w:lineRule="auto"/>
        <w:ind w:left="426"/>
        <w:rPr>
          <w:rFonts w:eastAsia="Calibri" w:cs="Arial"/>
          <w:b w:val="0"/>
          <w:caps w:val="0"/>
        </w:rPr>
      </w:pPr>
      <w:r>
        <w:rPr>
          <w:rFonts w:eastAsia="Calibri" w:cs="Arial"/>
          <w:b w:val="0"/>
          <w:caps w:val="0"/>
        </w:rPr>
        <w:t>Rekomendasi pada a</w:t>
      </w:r>
      <w:r w:rsidR="00617D1B">
        <w:rPr>
          <w:rFonts w:eastAsia="Calibri" w:cs="Arial"/>
          <w:b w:val="0"/>
          <w:caps w:val="0"/>
        </w:rPr>
        <w:t>spek kesetaraan hak</w:t>
      </w:r>
      <w:r>
        <w:rPr>
          <w:rFonts w:eastAsia="Calibri" w:cs="Arial"/>
          <w:b w:val="0"/>
          <w:caps w:val="0"/>
        </w:rPr>
        <w:t xml:space="preserve"> </w:t>
      </w:r>
      <w:r w:rsidR="00802B05">
        <w:rPr>
          <w:rFonts w:eastAsia="Calibri" w:cs="Arial"/>
          <w:b w:val="0"/>
          <w:caps w:val="0"/>
        </w:rPr>
        <w:t>membutuhkan</w:t>
      </w:r>
      <w:r w:rsidRPr="00D3032B">
        <w:rPr>
          <w:rFonts w:eastAsia="Calibri" w:cs="Arial"/>
          <w:b w:val="0"/>
          <w:caps w:val="0"/>
        </w:rPr>
        <w:t xml:space="preserve"> peningkatan kesadaran dan pelatihan bagi guru terkait pendidikan inklusif, penyediaan sarana dan teknologi bantu yang ramah disabilitas, serta rekrutmen dan pelatihan guru shadow dengan dukungan insentif yang memadai</w:t>
      </w:r>
      <w:r>
        <w:rPr>
          <w:rFonts w:eastAsia="Calibri" w:cs="Arial"/>
          <w:b w:val="0"/>
          <w:caps w:val="0"/>
        </w:rPr>
        <w:t>.</w:t>
      </w:r>
      <w:r w:rsidR="005C53F4">
        <w:rPr>
          <w:rFonts w:eastAsia="Calibri" w:cs="Arial"/>
          <w:b w:val="0"/>
          <w:caps w:val="0"/>
        </w:rPr>
        <w:t xml:space="preserve"> </w:t>
      </w:r>
    </w:p>
    <w:p w14:paraId="5FFB8CD7" w14:textId="453958D4" w:rsidR="00AD11EA" w:rsidRPr="00AD11EA" w:rsidRDefault="005C53F4" w:rsidP="00001440">
      <w:pPr>
        <w:pStyle w:val="Heading2"/>
        <w:numPr>
          <w:ilvl w:val="0"/>
          <w:numId w:val="1"/>
        </w:numPr>
        <w:spacing w:line="240" w:lineRule="auto"/>
        <w:ind w:left="426"/>
        <w:rPr>
          <w:rFonts w:eastAsia="Calibri" w:cs="Arial"/>
          <w:b w:val="0"/>
          <w:caps w:val="0"/>
        </w:rPr>
      </w:pPr>
      <w:r>
        <w:rPr>
          <w:rFonts w:eastAsia="Calibri" w:cs="Arial"/>
          <w:b w:val="0"/>
          <w:caps w:val="0"/>
        </w:rPr>
        <w:t xml:space="preserve">Rekomendasi pada aspek </w:t>
      </w:r>
      <w:r w:rsidRPr="005C53F4">
        <w:rPr>
          <w:rFonts w:eastAsia="Calibri" w:cs="Arial"/>
          <w:b w:val="0"/>
          <w:caps w:val="0"/>
          <w:lang w:val="sv-SE"/>
        </w:rPr>
        <w:t>kebermanfaatan program</w:t>
      </w:r>
      <w:r w:rsidR="00802B05" w:rsidRPr="00802B05">
        <w:rPr>
          <w:rFonts w:eastAsia="Calibri" w:cs="Arial"/>
          <w:b w:val="0"/>
          <w:caps w:val="0"/>
        </w:rPr>
        <w:t xml:space="preserve"> </w:t>
      </w:r>
      <w:r w:rsidR="00802B05">
        <w:rPr>
          <w:rFonts w:eastAsia="Calibri" w:cs="Arial"/>
          <w:b w:val="0"/>
          <w:caps w:val="0"/>
        </w:rPr>
        <w:t>membutuhkan</w:t>
      </w:r>
      <w:r w:rsidR="00802B05">
        <w:rPr>
          <w:rFonts w:eastAsia="Calibri" w:cs="Arial"/>
          <w:b w:val="0"/>
          <w:caps w:val="0"/>
          <w:lang w:val="sv-SE"/>
        </w:rPr>
        <w:t xml:space="preserve"> </w:t>
      </w:r>
      <w:r>
        <w:rPr>
          <w:rFonts w:eastAsia="Calibri" w:cs="Arial"/>
          <w:b w:val="0"/>
          <w:caps w:val="0"/>
          <w:lang w:val="sv-SE"/>
        </w:rPr>
        <w:t>perancangan k</w:t>
      </w:r>
      <w:r w:rsidRPr="005C53F4">
        <w:rPr>
          <w:rFonts w:eastAsia="Calibri" w:cs="Arial"/>
          <w:b w:val="0"/>
          <w:caps w:val="0"/>
          <w:lang w:val="sv-SE"/>
        </w:rPr>
        <w:t>urikulum dengan fokus pada pendekatan holistik, yang tidak hanya mengajarkan teknik dasar permainan, tetapi juga menanamkan pemahaman tentang manfaat aktivitas fisik bagi kesehatan, kebugaran, dan kehidupan sehari-hari</w:t>
      </w:r>
      <w:r>
        <w:rPr>
          <w:rFonts w:eastAsia="Calibri" w:cs="Arial"/>
          <w:b w:val="0"/>
          <w:caps w:val="0"/>
          <w:lang w:val="sv-SE"/>
        </w:rPr>
        <w:t>.</w:t>
      </w:r>
      <w:r w:rsidR="00AD11EA">
        <w:rPr>
          <w:rFonts w:eastAsia="Calibri" w:cs="Arial"/>
          <w:b w:val="0"/>
          <w:caps w:val="0"/>
          <w:lang w:val="sv-SE"/>
        </w:rPr>
        <w:t xml:space="preserve"> </w:t>
      </w:r>
    </w:p>
    <w:p w14:paraId="7553A544" w14:textId="0ED6097C" w:rsidR="007335A0" w:rsidRPr="007335A0" w:rsidRDefault="00AD11EA" w:rsidP="00001440">
      <w:pPr>
        <w:pStyle w:val="Heading2"/>
        <w:numPr>
          <w:ilvl w:val="0"/>
          <w:numId w:val="1"/>
        </w:numPr>
        <w:spacing w:line="240" w:lineRule="auto"/>
        <w:ind w:left="426"/>
        <w:rPr>
          <w:rFonts w:eastAsia="Calibri"/>
          <w:b w:val="0"/>
          <w:bCs w:val="0"/>
        </w:rPr>
      </w:pPr>
      <w:r>
        <w:rPr>
          <w:rFonts w:eastAsia="Calibri" w:cs="Arial"/>
          <w:b w:val="0"/>
          <w:bCs w:val="0"/>
          <w:caps w:val="0"/>
        </w:rPr>
        <w:t>R</w:t>
      </w:r>
      <w:r w:rsidRPr="00AD11EA">
        <w:rPr>
          <w:rFonts w:eastAsia="Calibri" w:cs="Arial"/>
          <w:b w:val="0"/>
          <w:bCs w:val="0"/>
          <w:caps w:val="0"/>
        </w:rPr>
        <w:t>ekomendasi pada aspek</w:t>
      </w:r>
      <w:r w:rsidRPr="00AD11EA">
        <w:rPr>
          <w:b w:val="0"/>
          <w:bCs w:val="0"/>
          <w:caps w:val="0"/>
        </w:rPr>
        <w:t xml:space="preserve"> kontribusi stakeholder</w:t>
      </w:r>
      <w:r w:rsidR="00802B05" w:rsidRPr="00802B05">
        <w:rPr>
          <w:rFonts w:eastAsia="Calibri" w:cs="Arial"/>
          <w:b w:val="0"/>
          <w:caps w:val="0"/>
        </w:rPr>
        <w:t xml:space="preserve"> </w:t>
      </w:r>
      <w:r w:rsidR="00802B05">
        <w:rPr>
          <w:rFonts w:eastAsia="Calibri" w:cs="Arial"/>
          <w:b w:val="0"/>
          <w:caps w:val="0"/>
        </w:rPr>
        <w:t>membutuhkan</w:t>
      </w:r>
      <w:r w:rsidR="00802B05" w:rsidRPr="007E6C89">
        <w:rPr>
          <w:b w:val="0"/>
          <w:bCs w:val="0"/>
          <w:caps w:val="0"/>
        </w:rPr>
        <w:t xml:space="preserve"> </w:t>
      </w:r>
      <w:r w:rsidR="007E6C89" w:rsidRPr="007E6C89">
        <w:rPr>
          <w:b w:val="0"/>
          <w:bCs w:val="0"/>
          <w:caps w:val="0"/>
        </w:rPr>
        <w:t>prioritas pengadaan fasilitas berdasarkan kebutuhan utama dan direncanakan secara bertahap untuk mengatasi kendala pengadaan</w:t>
      </w:r>
      <w:r w:rsidR="0047260D">
        <w:rPr>
          <w:b w:val="0"/>
          <w:bCs w:val="0"/>
          <w:caps w:val="0"/>
        </w:rPr>
        <w:t xml:space="preserve"> sarana dan prasarana</w:t>
      </w:r>
      <w:r w:rsidR="007E6C89">
        <w:rPr>
          <w:b w:val="0"/>
          <w:bCs w:val="0"/>
          <w:caps w:val="0"/>
        </w:rPr>
        <w:t>.</w:t>
      </w:r>
      <w:r w:rsidR="007335A0">
        <w:rPr>
          <w:b w:val="0"/>
          <w:bCs w:val="0"/>
          <w:caps w:val="0"/>
        </w:rPr>
        <w:t xml:space="preserve"> </w:t>
      </w:r>
    </w:p>
    <w:p w14:paraId="42A13259" w14:textId="43C22A95" w:rsidR="005E1AA4" w:rsidRDefault="007335A0" w:rsidP="00001440">
      <w:pPr>
        <w:pStyle w:val="Heading2"/>
        <w:numPr>
          <w:ilvl w:val="0"/>
          <w:numId w:val="1"/>
        </w:numPr>
        <w:spacing w:line="240" w:lineRule="auto"/>
        <w:ind w:left="426"/>
        <w:rPr>
          <w:b w:val="0"/>
          <w:bCs w:val="0"/>
          <w:caps w:val="0"/>
        </w:rPr>
      </w:pPr>
      <w:r>
        <w:rPr>
          <w:b w:val="0"/>
          <w:bCs w:val="0"/>
          <w:caps w:val="0"/>
        </w:rPr>
        <w:t xml:space="preserve">Rekomendasi pada </w:t>
      </w:r>
      <w:r w:rsidRPr="007335A0">
        <w:rPr>
          <w:b w:val="0"/>
          <w:bCs w:val="0"/>
          <w:caps w:val="0"/>
        </w:rPr>
        <w:t>aspek ketersediaan sarana &amp; prasarana</w:t>
      </w:r>
      <w:r w:rsidR="00802B05">
        <w:rPr>
          <w:b w:val="0"/>
          <w:bCs w:val="0"/>
          <w:caps w:val="0"/>
        </w:rPr>
        <w:t xml:space="preserve"> </w:t>
      </w:r>
      <w:r w:rsidR="00802B05">
        <w:rPr>
          <w:rFonts w:eastAsia="Calibri" w:cs="Arial"/>
          <w:b w:val="0"/>
          <w:caps w:val="0"/>
        </w:rPr>
        <w:t>membutuhkan</w:t>
      </w:r>
      <w:r w:rsidR="00001440">
        <w:rPr>
          <w:b w:val="0"/>
          <w:bCs w:val="0"/>
          <w:caps w:val="0"/>
        </w:rPr>
        <w:t xml:space="preserve"> </w:t>
      </w:r>
      <w:r w:rsidR="00001440" w:rsidRPr="00001440">
        <w:rPr>
          <w:b w:val="0"/>
          <w:bCs w:val="0"/>
          <w:caps w:val="0"/>
        </w:rPr>
        <w:t>pemetaan kebutuhan berdasarkan jumlah siswa di setiap sekolah dan menyusun prioritas pengadaan fasilitas secara bertahap</w:t>
      </w:r>
      <w:r w:rsidR="00001440">
        <w:rPr>
          <w:b w:val="0"/>
          <w:bCs w:val="0"/>
          <w:caps w:val="0"/>
        </w:rPr>
        <w:t xml:space="preserve">. </w:t>
      </w:r>
    </w:p>
    <w:p w14:paraId="1AB861B3" w14:textId="77777777" w:rsidR="0064316E" w:rsidRPr="0064316E" w:rsidRDefault="005E1AA4" w:rsidP="00D93DC1">
      <w:pPr>
        <w:pStyle w:val="Heading2"/>
        <w:numPr>
          <w:ilvl w:val="0"/>
          <w:numId w:val="1"/>
        </w:numPr>
        <w:spacing w:line="240" w:lineRule="auto"/>
        <w:ind w:left="426"/>
        <w:rPr>
          <w:b w:val="0"/>
          <w:bCs w:val="0"/>
          <w:caps w:val="0"/>
        </w:rPr>
      </w:pPr>
      <w:r w:rsidRPr="00802B05">
        <w:rPr>
          <w:b w:val="0"/>
          <w:bCs w:val="0"/>
          <w:caps w:val="0"/>
        </w:rPr>
        <w:t xml:space="preserve">Rekomendasi pada aspek budaya hidup aktif </w:t>
      </w:r>
      <w:r w:rsidR="00802B05" w:rsidRPr="00802B05">
        <w:rPr>
          <w:b w:val="0"/>
          <w:bCs w:val="0"/>
          <w:caps w:val="0"/>
        </w:rPr>
        <w:t>memerlukan konsistensi kontribusi pendidikan jasmani untuk mengembangkan keterampilan peserta didik serta manfaat dalam aktivitas sehari-hari</w:t>
      </w:r>
      <w:r w:rsidR="0047260D">
        <w:rPr>
          <w:b w:val="0"/>
          <w:bCs w:val="0"/>
          <w:caps w:val="0"/>
        </w:rPr>
        <w:t xml:space="preserve"> untuk menekan prevalensi terjadinya obesitas pada anak-anak dan remaja</w:t>
      </w:r>
      <w:r w:rsidR="00802B05">
        <w:rPr>
          <w:b w:val="0"/>
          <w:bCs w:val="0"/>
          <w:caps w:val="0"/>
        </w:rPr>
        <w:t>.</w:t>
      </w:r>
      <w:r w:rsidR="0064316E" w:rsidRPr="0064316E">
        <w:t xml:space="preserve"> </w:t>
      </w:r>
    </w:p>
    <w:p w14:paraId="6D80EE11" w14:textId="1CF4E8EA" w:rsidR="00D93DC1" w:rsidRDefault="0064316E" w:rsidP="0064316E">
      <w:pPr>
        <w:pStyle w:val="Heading2"/>
        <w:numPr>
          <w:ilvl w:val="0"/>
          <w:numId w:val="1"/>
        </w:numPr>
        <w:spacing w:line="240" w:lineRule="auto"/>
        <w:ind w:left="426"/>
        <w:rPr>
          <w:b w:val="0"/>
          <w:bCs w:val="0"/>
          <w:caps w:val="0"/>
        </w:rPr>
      </w:pPr>
      <w:r w:rsidRPr="0064316E">
        <w:rPr>
          <w:b w:val="0"/>
          <w:bCs w:val="0"/>
          <w:caps w:val="0"/>
        </w:rPr>
        <w:t>Rekomendasi pada kerjasama internasional, baiknya stakeholder dapat menjalin kerjasama secara internasional guna mewujudkan pendidikan jasmani yang lebih unggul.</w:t>
      </w:r>
    </w:p>
    <w:p w14:paraId="3A0935D8" w14:textId="77777777" w:rsidR="0064316E" w:rsidRPr="0064316E" w:rsidRDefault="0064316E" w:rsidP="0064316E">
      <w:pPr>
        <w:rPr>
          <w:lang w:val="fi-FI"/>
        </w:rPr>
      </w:pPr>
    </w:p>
    <w:p w14:paraId="54DB1AE7" w14:textId="46665AFB" w:rsidR="00980522" w:rsidRPr="00EE051D" w:rsidRDefault="00980522" w:rsidP="00EE051D">
      <w:pPr>
        <w:pStyle w:val="Heading2"/>
        <w:spacing w:line="240" w:lineRule="auto"/>
      </w:pPr>
      <w:r>
        <w:t>DAFTAR PUSTAKA</w:t>
      </w:r>
    </w:p>
    <w:p w14:paraId="44D615CF" w14:textId="4ACA0B1D" w:rsidR="0064316E" w:rsidRPr="0064316E" w:rsidRDefault="00481AD4"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eastAsia="Times New Roman" w:hAnsi="Calisto MT" w:cs="Arial"/>
          <w:sz w:val="20"/>
          <w:szCs w:val="20"/>
          <w:lang w:val="fi-FI" w:eastAsia="en-GB"/>
        </w:rPr>
        <w:fldChar w:fldCharType="begin" w:fldLock="1"/>
      </w:r>
      <w:r w:rsidRPr="0064316E">
        <w:rPr>
          <w:rFonts w:ascii="Calisto MT" w:eastAsia="Times New Roman" w:hAnsi="Calisto MT" w:cs="Arial"/>
          <w:sz w:val="20"/>
          <w:szCs w:val="20"/>
          <w:lang w:val="fi-FI" w:eastAsia="en-GB"/>
        </w:rPr>
        <w:instrText xml:space="preserve">ADDIN Mendeley Bibliography CSL_BIBLIOGRAPHY </w:instrText>
      </w:r>
      <w:r w:rsidRPr="0064316E">
        <w:rPr>
          <w:rFonts w:ascii="Calisto MT" w:eastAsia="Times New Roman" w:hAnsi="Calisto MT" w:cs="Arial"/>
          <w:sz w:val="20"/>
          <w:szCs w:val="20"/>
          <w:lang w:val="fi-FI" w:eastAsia="en-GB"/>
        </w:rPr>
        <w:fldChar w:fldCharType="separate"/>
      </w:r>
      <w:r w:rsidR="0064316E" w:rsidRPr="0064316E">
        <w:rPr>
          <w:rFonts w:ascii="Calisto MT" w:hAnsi="Calisto MT" w:cs="Times New Roman"/>
          <w:noProof/>
          <w:sz w:val="20"/>
          <w:szCs w:val="24"/>
        </w:rPr>
        <w:t xml:space="preserve">Anugrahwati, C., Mahmud, D. R., &amp; Wuwur, E. S. P. O. (2022). Analisis Manajemen Sarana dan Prasarana di Sekolah Dasar. </w:t>
      </w:r>
      <w:r w:rsidR="0064316E" w:rsidRPr="0064316E">
        <w:rPr>
          <w:rFonts w:ascii="Calisto MT" w:hAnsi="Calisto MT" w:cs="Times New Roman"/>
          <w:i/>
          <w:iCs/>
          <w:noProof/>
          <w:sz w:val="20"/>
          <w:szCs w:val="24"/>
        </w:rPr>
        <w:t>Jurnal Pembelajaran, Bimbingan, Dan Pengelolaan Pendidikan</w:t>
      </w:r>
      <w:r w:rsidR="0064316E" w:rsidRPr="0064316E">
        <w:rPr>
          <w:rFonts w:ascii="Calisto MT" w:hAnsi="Calisto MT" w:cs="Times New Roman"/>
          <w:noProof/>
          <w:sz w:val="20"/>
          <w:szCs w:val="24"/>
        </w:rPr>
        <w:t xml:space="preserve">, </w:t>
      </w:r>
      <w:r w:rsidR="0064316E" w:rsidRPr="0064316E">
        <w:rPr>
          <w:rFonts w:ascii="Calisto MT" w:hAnsi="Calisto MT" w:cs="Times New Roman"/>
          <w:i/>
          <w:iCs/>
          <w:noProof/>
          <w:sz w:val="20"/>
          <w:szCs w:val="24"/>
        </w:rPr>
        <w:t>2</w:t>
      </w:r>
      <w:r w:rsidR="0064316E" w:rsidRPr="0064316E">
        <w:rPr>
          <w:rFonts w:ascii="Calisto MT" w:hAnsi="Calisto MT" w:cs="Times New Roman"/>
          <w:noProof/>
          <w:sz w:val="20"/>
          <w:szCs w:val="24"/>
        </w:rPr>
        <w:t>(9), 905–915. https://doi.org/10.17977/um065v2i92022p905-915</w:t>
      </w:r>
    </w:p>
    <w:p w14:paraId="640F8C06"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Astuti, Wildan, &amp; Bahtiar. (2021). Pengaruh Gaya Kepemimpinan Demokratis Kepala Sekolah dan Motivasi Kerja Guru terhadap Prestasi Belajar Peserta Didik SMP. </w:t>
      </w:r>
      <w:r w:rsidRPr="0064316E">
        <w:rPr>
          <w:rFonts w:ascii="Calisto MT" w:hAnsi="Calisto MT" w:cs="Times New Roman"/>
          <w:i/>
          <w:iCs/>
          <w:noProof/>
          <w:sz w:val="20"/>
          <w:szCs w:val="24"/>
        </w:rPr>
        <w:t>Jurnal Pascasarjana UIN Mataram</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10</w:t>
      </w:r>
      <w:r w:rsidRPr="0064316E">
        <w:rPr>
          <w:rFonts w:ascii="Calisto MT" w:hAnsi="Calisto MT" w:cs="Times New Roman"/>
          <w:noProof/>
          <w:sz w:val="20"/>
          <w:szCs w:val="24"/>
        </w:rPr>
        <w:t>(2), 181–198.</w:t>
      </w:r>
    </w:p>
    <w:p w14:paraId="437BBC9D"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Bandeira, A. da S., Ravagnani, F. C. de P., Barbosa Filho, V. C., de Oliveira, V. J. M., de Camargo, E. M., Tenório, M. C. M., Sandreschi, P. F., dos Santos, P. C., Ramires, V. V., Hallal, P. C., &amp; Silva, K. S. (2022). Mapping recommended strategies to promote active and healthy lifestyles through physical education classes: a scoping review. </w:t>
      </w:r>
      <w:r w:rsidRPr="0064316E">
        <w:rPr>
          <w:rFonts w:ascii="Calisto MT" w:hAnsi="Calisto MT" w:cs="Times New Roman"/>
          <w:i/>
          <w:iCs/>
          <w:noProof/>
          <w:sz w:val="20"/>
          <w:szCs w:val="24"/>
        </w:rPr>
        <w:t>International Journal of Behavioral Nutrition and Physical Activity</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19</w:t>
      </w:r>
      <w:r w:rsidRPr="0064316E">
        <w:rPr>
          <w:rFonts w:ascii="Calisto MT" w:hAnsi="Calisto MT" w:cs="Times New Roman"/>
          <w:noProof/>
          <w:sz w:val="20"/>
          <w:szCs w:val="24"/>
        </w:rPr>
        <w:t>(1). https://doi.org/10.1186/s12966-022-01278-0</w:t>
      </w:r>
    </w:p>
    <w:p w14:paraId="7CFFA53A"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Bappenas. (2021). </w:t>
      </w:r>
      <w:r w:rsidRPr="0064316E">
        <w:rPr>
          <w:rFonts w:ascii="Calisto MT" w:hAnsi="Calisto MT" w:cs="Times New Roman"/>
          <w:i/>
          <w:iCs/>
          <w:noProof/>
          <w:sz w:val="20"/>
          <w:szCs w:val="24"/>
        </w:rPr>
        <w:t>Peta Jalan Sustainable Development Goals (SDGs) di Indonesia</w:t>
      </w:r>
      <w:r w:rsidRPr="0064316E">
        <w:rPr>
          <w:rFonts w:ascii="Calisto MT" w:hAnsi="Calisto MT" w:cs="Times New Roman"/>
          <w:noProof/>
          <w:sz w:val="20"/>
          <w:szCs w:val="24"/>
        </w:rPr>
        <w:t>. Kementerian Perencanaan Pembangunan Nasional.</w:t>
      </w:r>
    </w:p>
    <w:p w14:paraId="7672AC3C"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Berrigan, F., Beaudoin, S., Dubuc, M. M., Bernier, P. M., &amp; Turcotte, S. (2022). Benefits of a daily physical activity program supervised by a physical and health education teacher: utility of a mixed methods study using an ecological approach. </w:t>
      </w:r>
      <w:r w:rsidRPr="0064316E">
        <w:rPr>
          <w:rFonts w:ascii="Calisto MT" w:hAnsi="Calisto MT" w:cs="Times New Roman"/>
          <w:i/>
          <w:iCs/>
          <w:noProof/>
          <w:sz w:val="20"/>
          <w:szCs w:val="24"/>
        </w:rPr>
        <w:t>Physical Education and Sport Pedagogy</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27</w:t>
      </w:r>
      <w:r w:rsidRPr="0064316E">
        <w:rPr>
          <w:rFonts w:ascii="Calisto MT" w:hAnsi="Calisto MT" w:cs="Times New Roman"/>
          <w:noProof/>
          <w:sz w:val="20"/>
          <w:szCs w:val="24"/>
        </w:rPr>
        <w:t>(2), 200–213. https://doi.org/10.1080/17408989.2021.1999915</w:t>
      </w:r>
    </w:p>
    <w:p w14:paraId="284677E7"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Bucher, C. A. (1983). </w:t>
      </w:r>
      <w:r w:rsidRPr="0064316E">
        <w:rPr>
          <w:rFonts w:ascii="Calisto MT" w:hAnsi="Calisto MT" w:cs="Times New Roman"/>
          <w:i/>
          <w:iCs/>
          <w:noProof/>
          <w:sz w:val="20"/>
          <w:szCs w:val="24"/>
        </w:rPr>
        <w:t>Foundation of Physical Education &amp; Sport</w:t>
      </w:r>
      <w:r w:rsidRPr="0064316E">
        <w:rPr>
          <w:rFonts w:ascii="Calisto MT" w:hAnsi="Calisto MT" w:cs="Times New Roman"/>
          <w:noProof/>
          <w:sz w:val="20"/>
          <w:szCs w:val="24"/>
        </w:rPr>
        <w:t xml:space="preserve"> (9th ed.). C.V. Mosby Company.</w:t>
      </w:r>
    </w:p>
    <w:p w14:paraId="3272A75E"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Burhein, E., &amp; Saleh, M. (2023). Analisis Kebutuhan Instrumen Aktivitas Fisik pada Disabilitas. </w:t>
      </w:r>
      <w:r w:rsidRPr="0064316E">
        <w:rPr>
          <w:rFonts w:ascii="Calisto MT" w:hAnsi="Calisto MT" w:cs="Times New Roman"/>
          <w:i/>
          <w:iCs/>
          <w:noProof/>
          <w:sz w:val="20"/>
          <w:szCs w:val="24"/>
        </w:rPr>
        <w:t>Journal of SPORT</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7</w:t>
      </w:r>
      <w:r w:rsidRPr="0064316E">
        <w:rPr>
          <w:rFonts w:ascii="Calisto MT" w:hAnsi="Calisto MT" w:cs="Times New Roman"/>
          <w:noProof/>
          <w:sz w:val="20"/>
          <w:szCs w:val="24"/>
        </w:rPr>
        <w:t>(3), 1–10. https://doi.org/https://doi.org/10.37058/sport.v7i3.8332</w:t>
      </w:r>
    </w:p>
    <w:p w14:paraId="738BA1CE"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Calp, </w:t>
      </w:r>
      <w:r w:rsidRPr="0064316E">
        <w:rPr>
          <w:rFonts w:ascii="Cambria" w:hAnsi="Cambria" w:cs="Cambria"/>
          <w:noProof/>
          <w:sz w:val="20"/>
          <w:szCs w:val="24"/>
        </w:rPr>
        <w:t>Ş</w:t>
      </w:r>
      <w:r w:rsidRPr="0064316E">
        <w:rPr>
          <w:rFonts w:ascii="Calisto MT" w:hAnsi="Calisto MT" w:cs="Times New Roman"/>
          <w:noProof/>
          <w:sz w:val="20"/>
          <w:szCs w:val="24"/>
        </w:rPr>
        <w:t xml:space="preserve">. (2020). Peaceful and happy schools: How to build positive learning environments. </w:t>
      </w:r>
      <w:r w:rsidRPr="0064316E">
        <w:rPr>
          <w:rFonts w:ascii="Calisto MT" w:hAnsi="Calisto MT" w:cs="Times New Roman"/>
          <w:i/>
          <w:iCs/>
          <w:noProof/>
          <w:sz w:val="20"/>
          <w:szCs w:val="24"/>
        </w:rPr>
        <w:t>International Electronic Journal of Elementary Education</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12</w:t>
      </w:r>
      <w:r w:rsidRPr="0064316E">
        <w:rPr>
          <w:rFonts w:ascii="Calisto MT" w:hAnsi="Calisto MT" w:cs="Times New Roman"/>
          <w:noProof/>
          <w:sz w:val="20"/>
          <w:szCs w:val="24"/>
        </w:rPr>
        <w:t>(4), 311–320. https://doi.org/10.26822/iejee.2020459460</w:t>
      </w:r>
    </w:p>
    <w:p w14:paraId="4ECB41D0"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Chróinín, D. N., Fletcher, T., &amp; O’Sullivan, M. (2018). Pedagogical principles of learning to teach meaningful physical education. </w:t>
      </w:r>
      <w:r w:rsidRPr="0064316E">
        <w:rPr>
          <w:rFonts w:ascii="Calisto MT" w:hAnsi="Calisto MT" w:cs="Times New Roman"/>
          <w:i/>
          <w:iCs/>
          <w:noProof/>
          <w:sz w:val="20"/>
          <w:szCs w:val="24"/>
        </w:rPr>
        <w:t>Physical Education and Sport Pedagogy</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23</w:t>
      </w:r>
      <w:r w:rsidRPr="0064316E">
        <w:rPr>
          <w:rFonts w:ascii="Calisto MT" w:hAnsi="Calisto MT" w:cs="Times New Roman"/>
          <w:noProof/>
          <w:sz w:val="20"/>
          <w:szCs w:val="24"/>
        </w:rPr>
        <w:t>(2), 117–133. https://doi.org/10.1080/17408989.2017.1342789</w:t>
      </w:r>
    </w:p>
    <w:p w14:paraId="66A8AAA4"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Janssen, J. A. M. J. L. (2021). Hyperinsulinemia and its pivotal role in aging, obesity, type 2 diabetes, cardiovascular disease and cancer. </w:t>
      </w:r>
      <w:r w:rsidRPr="0064316E">
        <w:rPr>
          <w:rFonts w:ascii="Calisto MT" w:hAnsi="Calisto MT" w:cs="Times New Roman"/>
          <w:i/>
          <w:iCs/>
          <w:noProof/>
          <w:sz w:val="20"/>
          <w:szCs w:val="24"/>
        </w:rPr>
        <w:t>International Journal of Molecular Sciences</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22</w:t>
      </w:r>
      <w:r w:rsidRPr="0064316E">
        <w:rPr>
          <w:rFonts w:ascii="Calisto MT" w:hAnsi="Calisto MT" w:cs="Times New Roman"/>
          <w:noProof/>
          <w:sz w:val="20"/>
          <w:szCs w:val="24"/>
        </w:rPr>
        <w:t>(15). https://doi.org/10.3390/ijms22157797</w:t>
      </w:r>
    </w:p>
    <w:p w14:paraId="6FA74CDD"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Kartikasari, D., Komariyah, L., &amp; Rahmat, A. (2023). Aspek Psikologis Dalam Pembelajaran Renang: Systematic Literature Review. </w:t>
      </w:r>
      <w:r w:rsidRPr="0064316E">
        <w:rPr>
          <w:rFonts w:ascii="Calisto MT" w:hAnsi="Calisto MT" w:cs="Times New Roman"/>
          <w:i/>
          <w:iCs/>
          <w:noProof/>
          <w:sz w:val="20"/>
          <w:szCs w:val="24"/>
        </w:rPr>
        <w:t>SPRINTER: Jurnal Ilmu Olahraga</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4</w:t>
      </w:r>
      <w:r w:rsidRPr="0064316E">
        <w:rPr>
          <w:rFonts w:ascii="Calisto MT" w:hAnsi="Calisto MT" w:cs="Times New Roman"/>
          <w:noProof/>
          <w:sz w:val="20"/>
          <w:szCs w:val="24"/>
        </w:rPr>
        <w:t>(3), 294–306. https://doi.org/10.46838/spr.v4i3.433</w:t>
      </w:r>
    </w:p>
    <w:p w14:paraId="003C9AB9"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Kemenkes. (2021). </w:t>
      </w:r>
      <w:r w:rsidRPr="0064316E">
        <w:rPr>
          <w:rFonts w:ascii="Calisto MT" w:hAnsi="Calisto MT" w:cs="Times New Roman"/>
          <w:i/>
          <w:iCs/>
          <w:noProof/>
          <w:sz w:val="20"/>
          <w:szCs w:val="24"/>
        </w:rPr>
        <w:t>Epidemi Obesitas</w:t>
      </w:r>
      <w:r w:rsidRPr="0064316E">
        <w:rPr>
          <w:rFonts w:ascii="Calisto MT" w:hAnsi="Calisto MT" w:cs="Times New Roman"/>
          <w:noProof/>
          <w:sz w:val="20"/>
          <w:szCs w:val="24"/>
        </w:rPr>
        <w:t>. Kementerian Kesehatan Republik Indonesia.</w:t>
      </w:r>
    </w:p>
    <w:p w14:paraId="300855FE"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Nur’aenon, I. I., &amp; Rejeki, H. S. (2020). Faktor Faktor Yang Mempengaruhi Rendahnya Prestasi Belajar Pendidikan Jasmani. </w:t>
      </w:r>
      <w:r w:rsidRPr="0064316E">
        <w:rPr>
          <w:rFonts w:ascii="Calisto MT" w:hAnsi="Calisto MT" w:cs="Times New Roman"/>
          <w:i/>
          <w:iCs/>
          <w:noProof/>
          <w:sz w:val="20"/>
          <w:szCs w:val="24"/>
        </w:rPr>
        <w:t>Jurnal Ilmu Keolahragaan</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3</w:t>
      </w:r>
      <w:r w:rsidRPr="0064316E">
        <w:rPr>
          <w:rFonts w:ascii="Calisto MT" w:hAnsi="Calisto MT" w:cs="Times New Roman"/>
          <w:noProof/>
          <w:sz w:val="20"/>
          <w:szCs w:val="24"/>
        </w:rPr>
        <w:t>(2), 149. https://doi.org/10.26418/jilo.v3i2.42965</w:t>
      </w:r>
    </w:p>
    <w:p w14:paraId="4AD7C040"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Nurhasanah, A., Marini, A., &amp; Sumantri, M. S. (2021). Pengelolaan Pendidikan Berbasis Kebijakan Gender di Salah Satu Sekolah Dasar Banten. </w:t>
      </w:r>
      <w:r w:rsidRPr="0064316E">
        <w:rPr>
          <w:rFonts w:ascii="Calisto MT" w:hAnsi="Calisto MT" w:cs="Times New Roman"/>
          <w:i/>
          <w:iCs/>
          <w:noProof/>
          <w:sz w:val="20"/>
          <w:szCs w:val="24"/>
        </w:rPr>
        <w:t>ESJ (Elementary School Journal)</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11</w:t>
      </w:r>
      <w:r w:rsidRPr="0064316E">
        <w:rPr>
          <w:rFonts w:ascii="Calisto MT" w:hAnsi="Calisto MT" w:cs="Times New Roman"/>
          <w:noProof/>
          <w:sz w:val="20"/>
          <w:szCs w:val="24"/>
        </w:rPr>
        <w:t>(1), 6.</w:t>
      </w:r>
    </w:p>
    <w:p w14:paraId="51F72A58"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Pratiwi, L. T., Maghfiroh, M. N., Andika, D. S., Marcela, I. N., &amp; Afifah, A. F. (2022). Permasalahan yang Dihadapi Dalam Pelaksanaan Sekolah Inklusi Di Indonesia. </w:t>
      </w:r>
      <w:r w:rsidRPr="0064316E">
        <w:rPr>
          <w:rFonts w:ascii="Calisto MT" w:hAnsi="Calisto MT" w:cs="Times New Roman"/>
          <w:i/>
          <w:iCs/>
          <w:noProof/>
          <w:sz w:val="20"/>
          <w:szCs w:val="24"/>
        </w:rPr>
        <w:t>Jurnal Pendidikan Dasar Flobamorata</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3</w:t>
      </w:r>
      <w:r w:rsidRPr="0064316E">
        <w:rPr>
          <w:rFonts w:ascii="Calisto MT" w:hAnsi="Calisto MT" w:cs="Times New Roman"/>
          <w:noProof/>
          <w:sz w:val="20"/>
          <w:szCs w:val="24"/>
        </w:rPr>
        <w:t>(2), 314–318. https://doi.org/10.51494/jpdf.v3i2.704</w:t>
      </w:r>
    </w:p>
    <w:p w14:paraId="12205CAB"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Putro, W. A. S., Sugiono, S., Istiyono, I., &amp; Widiyaningsih, W. R. (2024). Literasi Sport Science dalam Bidang Olahraga pada Mahasiswa Pendidikan Guru Sekolah Dasar. </w:t>
      </w:r>
      <w:r w:rsidRPr="0064316E">
        <w:rPr>
          <w:rFonts w:ascii="Calisto MT" w:hAnsi="Calisto MT" w:cs="Times New Roman"/>
          <w:i/>
          <w:iCs/>
          <w:noProof/>
          <w:sz w:val="20"/>
          <w:szCs w:val="24"/>
        </w:rPr>
        <w:t>Jurnal Basicedu</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8</w:t>
      </w:r>
      <w:r w:rsidRPr="0064316E">
        <w:rPr>
          <w:rFonts w:ascii="Calisto MT" w:hAnsi="Calisto MT" w:cs="Times New Roman"/>
          <w:noProof/>
          <w:sz w:val="20"/>
          <w:szCs w:val="24"/>
        </w:rPr>
        <w:t>(1), 477–483. https://doi.org/10.31004/basicedu.v8i1.7073</w:t>
      </w:r>
    </w:p>
    <w:p w14:paraId="7E8FD8C5"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Ridlo, M. F., Hanani, E. S., Yuwono, C., &amp; Gansar, D. (2024). Survei Ketersediaan Fasilitas Pembelajaran Pendidikan Jasmani Olahraga dan Kesehatan Madrasah Ibtidaiyah di Kecamatan Kandangan Kabupaten Temanggung Tahun 2023. </w:t>
      </w:r>
      <w:r w:rsidRPr="0064316E">
        <w:rPr>
          <w:rFonts w:ascii="Calisto MT" w:hAnsi="Calisto MT" w:cs="Times New Roman"/>
          <w:i/>
          <w:iCs/>
          <w:noProof/>
          <w:sz w:val="20"/>
          <w:szCs w:val="24"/>
        </w:rPr>
        <w:t>Indonesian Journal for Physical Education and Sport</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5</w:t>
      </w:r>
      <w:r w:rsidRPr="0064316E">
        <w:rPr>
          <w:rFonts w:ascii="Calisto MT" w:hAnsi="Calisto MT" w:cs="Times New Roman"/>
          <w:noProof/>
          <w:sz w:val="20"/>
          <w:szCs w:val="24"/>
        </w:rPr>
        <w:t>(2), 457–468.</w:t>
      </w:r>
    </w:p>
    <w:p w14:paraId="6F7BF6CC"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Rodji, A. P., Wasliman, I., Muchtar, H. S., &amp; Koswara, N. (2022). Physical Education Learning Management in Fostering Students’ Kinesthetic Intelligence. </w:t>
      </w:r>
      <w:r w:rsidRPr="0064316E">
        <w:rPr>
          <w:rFonts w:ascii="Calisto MT" w:hAnsi="Calisto MT" w:cs="Times New Roman"/>
          <w:i/>
          <w:iCs/>
          <w:noProof/>
          <w:sz w:val="20"/>
          <w:szCs w:val="24"/>
        </w:rPr>
        <w:t>International Journal of Educational Research &amp; Social Sciences</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3</w:t>
      </w:r>
      <w:r w:rsidRPr="0064316E">
        <w:rPr>
          <w:rFonts w:ascii="Calisto MT" w:hAnsi="Calisto MT" w:cs="Times New Roman"/>
          <w:noProof/>
          <w:sz w:val="20"/>
          <w:szCs w:val="24"/>
        </w:rPr>
        <w:t>(3), 1084–1088. https://doi.org/10.51601/ijersc.v3i3.367</w:t>
      </w:r>
    </w:p>
    <w:p w14:paraId="01B7EC6B"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Rohani, D. (2023). Hubungan Pengetahuan Gizi , Tingkat Kecukupan Zat Gizi , Dan Aktivitas Fisik Dengan Status Gizi Pada Guru SMP Desma. </w:t>
      </w:r>
      <w:r w:rsidRPr="0064316E">
        <w:rPr>
          <w:rFonts w:ascii="Calisto MT" w:hAnsi="Calisto MT" w:cs="Times New Roman"/>
          <w:i/>
          <w:iCs/>
          <w:noProof/>
          <w:sz w:val="20"/>
          <w:szCs w:val="24"/>
        </w:rPr>
        <w:t>Student Research Journal</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1</w:t>
      </w:r>
      <w:r w:rsidRPr="0064316E">
        <w:rPr>
          <w:rFonts w:ascii="Calisto MT" w:hAnsi="Calisto MT" w:cs="Times New Roman"/>
          <w:noProof/>
          <w:sz w:val="20"/>
          <w:szCs w:val="24"/>
        </w:rPr>
        <w:t>(1), 01–14.</w:t>
      </w:r>
    </w:p>
    <w:p w14:paraId="07F5858A"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Sembiring, B. A., Rosdewi, N. N., &amp; Yuningrum, H. (2022). Hubungan Aktivitas Fisik dengan </w:t>
      </w:r>
      <w:r w:rsidRPr="0064316E">
        <w:rPr>
          <w:rFonts w:ascii="Calisto MT" w:hAnsi="Calisto MT" w:cs="Times New Roman"/>
          <w:noProof/>
          <w:sz w:val="20"/>
          <w:szCs w:val="24"/>
        </w:rPr>
        <w:lastRenderedPageBreak/>
        <w:t xml:space="preserve">Kejadian Obesitas pada Remaja di SMA Swasta Cerdas Bangsa, Kecamatan Deli Tua, Kabupaten Deli Serdang, Medan Bela. </w:t>
      </w:r>
      <w:r w:rsidRPr="0064316E">
        <w:rPr>
          <w:rFonts w:ascii="Calisto MT" w:hAnsi="Calisto MT" w:cs="Times New Roman"/>
          <w:i/>
          <w:iCs/>
          <w:noProof/>
          <w:sz w:val="20"/>
          <w:szCs w:val="24"/>
        </w:rPr>
        <w:t>Jurnal Formil</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7</w:t>
      </w:r>
      <w:r w:rsidRPr="0064316E">
        <w:rPr>
          <w:rFonts w:ascii="Calisto MT" w:hAnsi="Calisto MT" w:cs="Times New Roman"/>
          <w:noProof/>
          <w:sz w:val="20"/>
          <w:szCs w:val="24"/>
        </w:rPr>
        <w:t>(1), 87–95.</w:t>
      </w:r>
    </w:p>
    <w:p w14:paraId="7110A93E"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Setiawan, I. M. (2021). Ketersediaan Guru , Sarana dan Prasarana Pembelajaran Pendidikan Jasmani Olahraga dan Kesehatan di Sekolah Dasar. </w:t>
      </w:r>
      <w:r w:rsidRPr="0064316E">
        <w:rPr>
          <w:rFonts w:ascii="Calisto MT" w:hAnsi="Calisto MT" w:cs="Times New Roman"/>
          <w:i/>
          <w:iCs/>
          <w:noProof/>
          <w:sz w:val="20"/>
          <w:szCs w:val="24"/>
        </w:rPr>
        <w:t>Jurnal Ilmu Keolahragaan Undiksha</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9</w:t>
      </w:r>
      <w:r w:rsidRPr="0064316E">
        <w:rPr>
          <w:rFonts w:ascii="Calisto MT" w:hAnsi="Calisto MT" w:cs="Times New Roman"/>
          <w:noProof/>
          <w:sz w:val="20"/>
          <w:szCs w:val="24"/>
        </w:rPr>
        <w:t>(1), 18–24.</w:t>
      </w:r>
    </w:p>
    <w:p w14:paraId="2739A381"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Sierra-Díaz, M. J., González-Víllora, S., Pastor-Vicedo, J. C., &amp; López-Sánchez, G. F. (2019). Can We Motivate Students to Practice Physical Activities and Sports Through Models-Based Practice? A Systematic Review and Meta-Analysis of Psychosocial Factors Related to Physical Education. </w:t>
      </w:r>
      <w:r w:rsidRPr="0064316E">
        <w:rPr>
          <w:rFonts w:ascii="Calisto MT" w:hAnsi="Calisto MT" w:cs="Times New Roman"/>
          <w:i/>
          <w:iCs/>
          <w:noProof/>
          <w:sz w:val="20"/>
          <w:szCs w:val="24"/>
        </w:rPr>
        <w:t>Frontiers in Psychology</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10</w:t>
      </w:r>
      <w:r w:rsidRPr="0064316E">
        <w:rPr>
          <w:rFonts w:ascii="Calisto MT" w:hAnsi="Calisto MT" w:cs="Times New Roman"/>
          <w:noProof/>
          <w:sz w:val="20"/>
          <w:szCs w:val="24"/>
        </w:rPr>
        <w:t>(October). https://doi.org/10.3389/fpsyg.2019.02115</w:t>
      </w:r>
    </w:p>
    <w:p w14:paraId="69425D75"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Suardika, I. K., &amp; Adelina, C. (2024). Benefits of Sports Activities on Increasing Student Confidence. </w:t>
      </w:r>
      <w:r w:rsidRPr="0064316E">
        <w:rPr>
          <w:rFonts w:ascii="Calisto MT" w:hAnsi="Calisto MT" w:cs="Times New Roman"/>
          <w:i/>
          <w:iCs/>
          <w:noProof/>
          <w:sz w:val="20"/>
          <w:szCs w:val="24"/>
        </w:rPr>
        <w:t>International Sport Edelweiss Journal</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1</w:t>
      </w:r>
      <w:r w:rsidRPr="0064316E">
        <w:rPr>
          <w:rFonts w:ascii="Calisto MT" w:hAnsi="Calisto MT" w:cs="Times New Roman"/>
          <w:noProof/>
          <w:sz w:val="20"/>
          <w:szCs w:val="24"/>
        </w:rPr>
        <w:t>(01), 10–18. https://doi.org/10.69543/1tekwk98</w:t>
      </w:r>
    </w:p>
    <w:p w14:paraId="32084A4A"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Suryana, A. (2023). Partisipasi Komite Sekolah  Dalam  Meningkatkan Mutu Sekolah. </w:t>
      </w:r>
      <w:r w:rsidRPr="0064316E">
        <w:rPr>
          <w:rFonts w:ascii="Calisto MT" w:hAnsi="Calisto MT" w:cs="Times New Roman"/>
          <w:i/>
          <w:iCs/>
          <w:noProof/>
          <w:sz w:val="20"/>
          <w:szCs w:val="24"/>
        </w:rPr>
        <w:t>EduInovasi: Journal of Basic Educational Studies</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3</w:t>
      </w:r>
      <w:r w:rsidRPr="0064316E">
        <w:rPr>
          <w:rFonts w:ascii="Calisto MT" w:hAnsi="Calisto MT" w:cs="Times New Roman"/>
          <w:noProof/>
          <w:sz w:val="20"/>
          <w:szCs w:val="24"/>
        </w:rPr>
        <w:t>(2), 337–349. https://doi.org/10.47467/edui.v3i2.3639</w:t>
      </w:r>
    </w:p>
    <w:p w14:paraId="0316CB3C"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Talaghir, L.-G., Olaru, B. S., Ciorb</w:t>
      </w:r>
      <w:r w:rsidRPr="0064316E">
        <w:rPr>
          <w:rFonts w:ascii="Cambria" w:hAnsi="Cambria" w:cs="Cambria"/>
          <w:noProof/>
          <w:sz w:val="20"/>
          <w:szCs w:val="24"/>
        </w:rPr>
        <w:t>ă</w:t>
      </w:r>
      <w:r w:rsidRPr="0064316E">
        <w:rPr>
          <w:rFonts w:ascii="Calisto MT" w:hAnsi="Calisto MT" w:cs="Times New Roman"/>
          <w:noProof/>
          <w:sz w:val="20"/>
          <w:szCs w:val="24"/>
        </w:rPr>
        <w:t xml:space="preserve">, C., Rus, C. M., &amp; Iconomescu, T. M. (2023). A Knowledge-Based Approach to Physical Education: A Systematic Review. </w:t>
      </w:r>
      <w:r w:rsidRPr="0064316E">
        <w:rPr>
          <w:rFonts w:ascii="Calisto MT" w:hAnsi="Calisto MT" w:cs="Times New Roman"/>
          <w:i/>
          <w:iCs/>
          <w:noProof/>
          <w:sz w:val="20"/>
          <w:szCs w:val="24"/>
        </w:rPr>
        <w:t>Revista Romaneasca Pentru Educatie Multidimensionala</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15</w:t>
      </w:r>
      <w:r w:rsidRPr="0064316E">
        <w:rPr>
          <w:rFonts w:ascii="Calisto MT" w:hAnsi="Calisto MT" w:cs="Times New Roman"/>
          <w:noProof/>
          <w:sz w:val="20"/>
          <w:szCs w:val="24"/>
        </w:rPr>
        <w:t>(4), 252–278. https://doi.org/10.18662/rrem/15.4/792</w:t>
      </w:r>
    </w:p>
    <w:p w14:paraId="1C7F61D0"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Tzenios, N. (2023). Obesity as a Risk Factor For Different Types of Cancer. </w:t>
      </w:r>
      <w:r w:rsidRPr="0064316E">
        <w:rPr>
          <w:rFonts w:ascii="Calisto MT" w:hAnsi="Calisto MT" w:cs="Times New Roman"/>
          <w:i/>
          <w:iCs/>
          <w:noProof/>
          <w:sz w:val="20"/>
          <w:szCs w:val="24"/>
        </w:rPr>
        <w:t>EPRA International Journal of Multidisciplinary Research (IJMR)</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8</w:t>
      </w:r>
      <w:r w:rsidRPr="0064316E">
        <w:rPr>
          <w:rFonts w:ascii="Calisto MT" w:hAnsi="Calisto MT" w:cs="Times New Roman"/>
          <w:noProof/>
          <w:sz w:val="20"/>
          <w:szCs w:val="24"/>
        </w:rPr>
        <w:t>(2), 97–100. https://doi.org/10.36713/epra12421</w:t>
      </w:r>
    </w:p>
    <w:p w14:paraId="5DD83810"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Widyawan, D. (2020). Inklusi dalam Pendidikan Jasmani: Perspektif Siswa Penyandang Disabilitas. </w:t>
      </w:r>
      <w:r w:rsidRPr="0064316E">
        <w:rPr>
          <w:rFonts w:ascii="Calisto MT" w:hAnsi="Calisto MT" w:cs="Times New Roman"/>
          <w:i/>
          <w:iCs/>
          <w:noProof/>
          <w:sz w:val="20"/>
          <w:szCs w:val="24"/>
        </w:rPr>
        <w:t>Jurnal SPORTIF: Jurnal Penelitian Pembelajaran</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6</w:t>
      </w:r>
      <w:r w:rsidRPr="0064316E">
        <w:rPr>
          <w:rFonts w:ascii="Calisto MT" w:hAnsi="Calisto MT" w:cs="Times New Roman"/>
          <w:noProof/>
          <w:sz w:val="20"/>
          <w:szCs w:val="24"/>
        </w:rPr>
        <w:t>(3), 746–762. https://ojs.unpkediri.ac.id/index.php/pjk/article/view/14891</w:t>
      </w:r>
    </w:p>
    <w:p w14:paraId="4AEBA3F0"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cs="Times New Roman"/>
          <w:noProof/>
          <w:sz w:val="20"/>
          <w:szCs w:val="24"/>
        </w:rPr>
      </w:pPr>
      <w:r w:rsidRPr="0064316E">
        <w:rPr>
          <w:rFonts w:ascii="Calisto MT" w:hAnsi="Calisto MT" w:cs="Times New Roman"/>
          <w:noProof/>
          <w:sz w:val="20"/>
          <w:szCs w:val="24"/>
        </w:rPr>
        <w:t xml:space="preserve">Yang, Y. (2024). Research on Risk Management of School Physical Education under the Background of Integration of Sports and Education. </w:t>
      </w:r>
      <w:r w:rsidRPr="0064316E">
        <w:rPr>
          <w:rFonts w:ascii="Calisto MT" w:hAnsi="Calisto MT" w:cs="Times New Roman"/>
          <w:i/>
          <w:iCs/>
          <w:noProof/>
          <w:sz w:val="20"/>
          <w:szCs w:val="24"/>
        </w:rPr>
        <w:t>Frontiers in Educational Research</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7</w:t>
      </w:r>
      <w:r w:rsidRPr="0064316E">
        <w:rPr>
          <w:rFonts w:ascii="Calisto MT" w:hAnsi="Calisto MT" w:cs="Times New Roman"/>
          <w:noProof/>
          <w:sz w:val="20"/>
          <w:szCs w:val="24"/>
        </w:rPr>
        <w:t>(1), 29–36. https://doi.org/10.25236/fer.2024.070104</w:t>
      </w:r>
    </w:p>
    <w:p w14:paraId="4CFD1E21" w14:textId="77777777" w:rsidR="0064316E" w:rsidRPr="0064316E" w:rsidRDefault="0064316E" w:rsidP="0064316E">
      <w:pPr>
        <w:widowControl w:val="0"/>
        <w:autoSpaceDE w:val="0"/>
        <w:autoSpaceDN w:val="0"/>
        <w:adjustRightInd w:val="0"/>
        <w:spacing w:before="0" w:beforeAutospacing="0" w:after="0" w:afterAutospacing="0"/>
        <w:ind w:left="480" w:hanging="480"/>
        <w:jc w:val="left"/>
        <w:rPr>
          <w:rFonts w:ascii="Calisto MT" w:hAnsi="Calisto MT"/>
          <w:noProof/>
          <w:sz w:val="20"/>
        </w:rPr>
      </w:pPr>
      <w:r w:rsidRPr="0064316E">
        <w:rPr>
          <w:rFonts w:ascii="Calisto MT" w:hAnsi="Calisto MT" w:cs="Times New Roman"/>
          <w:noProof/>
          <w:sz w:val="20"/>
          <w:szCs w:val="24"/>
        </w:rPr>
        <w:t xml:space="preserve">Zuldesiah, Gistituati, N., &amp; Sabandi, A. (2021). Kontribusi Gaya Kepemimpinan dan Pelaksanaan Supervisi Kepala Sekolah terhadap Kinerja Guru-guru Sekolah Dasar. </w:t>
      </w:r>
      <w:r w:rsidRPr="0064316E">
        <w:rPr>
          <w:rFonts w:ascii="Calisto MT" w:hAnsi="Calisto MT" w:cs="Times New Roman"/>
          <w:i/>
          <w:iCs/>
          <w:noProof/>
          <w:sz w:val="20"/>
          <w:szCs w:val="24"/>
        </w:rPr>
        <w:t>Jurnal Basicedu</w:t>
      </w:r>
      <w:r w:rsidRPr="0064316E">
        <w:rPr>
          <w:rFonts w:ascii="Calisto MT" w:hAnsi="Calisto MT" w:cs="Times New Roman"/>
          <w:noProof/>
          <w:sz w:val="20"/>
          <w:szCs w:val="24"/>
        </w:rPr>
        <w:t xml:space="preserve">, </w:t>
      </w:r>
      <w:r w:rsidRPr="0064316E">
        <w:rPr>
          <w:rFonts w:ascii="Calisto MT" w:hAnsi="Calisto MT" w:cs="Times New Roman"/>
          <w:i/>
          <w:iCs/>
          <w:noProof/>
          <w:sz w:val="20"/>
          <w:szCs w:val="24"/>
        </w:rPr>
        <w:t>5</w:t>
      </w:r>
      <w:r w:rsidRPr="0064316E">
        <w:rPr>
          <w:rFonts w:ascii="Calisto MT" w:hAnsi="Calisto MT" w:cs="Times New Roman"/>
          <w:noProof/>
          <w:sz w:val="20"/>
          <w:szCs w:val="24"/>
        </w:rPr>
        <w:t>(2), 663–671.</w:t>
      </w:r>
    </w:p>
    <w:p w14:paraId="4FF37E6B" w14:textId="21D2BB5A" w:rsidR="00481AD4" w:rsidRPr="0064316E" w:rsidRDefault="00481AD4" w:rsidP="0064316E">
      <w:pPr>
        <w:spacing w:before="0" w:beforeAutospacing="0" w:after="0" w:afterAutospacing="0"/>
        <w:ind w:left="567" w:right="0" w:hanging="567"/>
        <w:jc w:val="left"/>
        <w:rPr>
          <w:rFonts w:ascii="Calisto MT" w:eastAsia="Times New Roman" w:hAnsi="Calisto MT" w:cs="Arial"/>
          <w:sz w:val="20"/>
          <w:szCs w:val="20"/>
          <w:lang w:eastAsia="en-GB"/>
        </w:rPr>
      </w:pPr>
      <w:r w:rsidRPr="0064316E">
        <w:rPr>
          <w:rFonts w:ascii="Calisto MT" w:eastAsia="Times New Roman" w:hAnsi="Calisto MT" w:cs="Arial"/>
          <w:sz w:val="20"/>
          <w:szCs w:val="20"/>
          <w:lang w:val="fi-FI" w:eastAsia="en-GB"/>
        </w:rPr>
        <w:fldChar w:fldCharType="end"/>
      </w:r>
    </w:p>
    <w:p w14:paraId="7C799F20" w14:textId="77777777" w:rsidR="00980522" w:rsidRPr="0064316E" w:rsidRDefault="00980522" w:rsidP="0064316E">
      <w:pPr>
        <w:spacing w:before="0" w:beforeAutospacing="0" w:after="0" w:afterAutospacing="0"/>
        <w:ind w:left="0"/>
        <w:jc w:val="left"/>
        <w:rPr>
          <w:rFonts w:ascii="Calisto MT" w:hAnsi="Calisto MT"/>
        </w:rPr>
        <w:sectPr w:rsidR="00980522" w:rsidRPr="0064316E" w:rsidSect="00980522">
          <w:type w:val="continuous"/>
          <w:pgSz w:w="11907" w:h="16839" w:code="9"/>
          <w:pgMar w:top="1701" w:right="1701" w:bottom="1701" w:left="1701" w:header="720" w:footer="720" w:gutter="0"/>
          <w:cols w:space="387"/>
          <w:docGrid w:linePitch="360"/>
        </w:sectPr>
      </w:pPr>
    </w:p>
    <w:p w14:paraId="60DA9B90" w14:textId="77777777" w:rsidR="00DC0D42" w:rsidRPr="0064316E" w:rsidRDefault="00DC0D42" w:rsidP="0064316E">
      <w:pPr>
        <w:spacing w:before="0" w:beforeAutospacing="0" w:after="0" w:afterAutospacing="0"/>
        <w:jc w:val="left"/>
        <w:rPr>
          <w:rFonts w:ascii="Calisto MT" w:hAnsi="Calisto MT"/>
        </w:rPr>
      </w:pPr>
    </w:p>
    <w:sectPr w:rsidR="00DC0D42" w:rsidRPr="0064316E" w:rsidSect="004D74D2">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A027" w14:textId="77777777" w:rsidR="000E5FC5" w:rsidRDefault="000E5FC5">
      <w:pPr>
        <w:spacing w:before="0" w:after="0"/>
      </w:pPr>
      <w:r>
        <w:separator/>
      </w:r>
    </w:p>
  </w:endnote>
  <w:endnote w:type="continuationSeparator" w:id="0">
    <w:p w14:paraId="3A3EF131" w14:textId="77777777" w:rsidR="000E5FC5" w:rsidRDefault="000E5F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57EC" w14:textId="2145E6DD" w:rsidR="00B17DA8" w:rsidRPr="00852420" w:rsidRDefault="00000000">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00980522" w:rsidRPr="00852420">
          <w:rPr>
            <w:rFonts w:ascii="Calisto MT" w:hAnsi="Calisto MT"/>
          </w:rPr>
          <w:fldChar w:fldCharType="begin"/>
        </w:r>
        <w:r w:rsidR="00980522" w:rsidRPr="00852420">
          <w:rPr>
            <w:rFonts w:ascii="Calisto MT" w:hAnsi="Calisto MT"/>
          </w:rPr>
          <w:instrText xml:space="preserve"> PAGE   \* MERGEFORMAT </w:instrText>
        </w:r>
        <w:r w:rsidR="00980522" w:rsidRPr="00852420">
          <w:rPr>
            <w:rFonts w:ascii="Calisto MT" w:hAnsi="Calisto MT"/>
          </w:rPr>
          <w:fldChar w:fldCharType="separate"/>
        </w:r>
        <w:r w:rsidR="00CA6D45">
          <w:rPr>
            <w:rFonts w:ascii="Calisto MT" w:hAnsi="Calisto MT"/>
            <w:noProof/>
          </w:rPr>
          <w:t>5</w:t>
        </w:r>
        <w:r w:rsidR="00980522"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736993"/>
      <w:docPartObj>
        <w:docPartGallery w:val="Page Numbers (Bottom of Page)"/>
        <w:docPartUnique/>
      </w:docPartObj>
    </w:sdtPr>
    <w:sdtEndPr>
      <w:rPr>
        <w:noProof/>
        <w:sz w:val="20"/>
      </w:rPr>
    </w:sdtEndPr>
    <w:sdtContent>
      <w:p w14:paraId="1F9F065F" w14:textId="25550EAD" w:rsidR="00B17DA8" w:rsidRPr="00264831" w:rsidRDefault="00980522" w:rsidP="004D74D2">
        <w:pPr>
          <w:pStyle w:val="Footer"/>
          <w:spacing w:before="100" w:after="100"/>
          <w:rPr>
            <w:sz w:val="20"/>
          </w:rPr>
        </w:pP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CA6D45">
          <w:rPr>
            <w:rFonts w:ascii="Calisto MT" w:hAnsi="Calisto MT"/>
            <w:noProof/>
            <w:sz w:val="20"/>
          </w:rPr>
          <w:t>1</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0F7E" w14:textId="77777777" w:rsidR="000E5FC5" w:rsidRDefault="000E5FC5">
      <w:pPr>
        <w:spacing w:before="0" w:after="0"/>
      </w:pPr>
      <w:r>
        <w:separator/>
      </w:r>
    </w:p>
  </w:footnote>
  <w:footnote w:type="continuationSeparator" w:id="0">
    <w:p w14:paraId="01771814" w14:textId="77777777" w:rsidR="000E5FC5" w:rsidRDefault="000E5F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32DF" w14:textId="77777777" w:rsidR="00B17DA8" w:rsidRDefault="00000000" w:rsidP="004D74D2">
    <w:pPr>
      <w:pStyle w:val="Header"/>
      <w:tabs>
        <w:tab w:val="left" w:pos="5051"/>
      </w:tabs>
      <w:jc w:val="left"/>
    </w:pPr>
    <w:r>
      <w:rPr>
        <w:noProof/>
      </w:rPr>
      <w:pict w14:anchorId="51EF1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1026" type="#_x0000_t75" style="position:absolute;left:0;text-align:left;margin-left:0;margin-top:0;width:243pt;height:242.25pt;z-index:-25165875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tab/>
    </w:r>
    <w:r w:rsidR="00980522">
      <w:rPr>
        <w:rFonts w:ascii="Calisto MT" w:hAnsi="Calisto MT" w:cs="Calisto MT"/>
        <w:sz w:val="18"/>
        <w:szCs w:val="18"/>
      </w:rPr>
      <w:t xml:space="preserve">Ira </w:t>
    </w:r>
    <w:proofErr w:type="spellStart"/>
    <w:r w:rsidR="00980522">
      <w:rPr>
        <w:rFonts w:ascii="Calisto MT" w:hAnsi="Calisto MT" w:cs="Calisto MT"/>
        <w:sz w:val="18"/>
        <w:szCs w:val="18"/>
      </w:rPr>
      <w:t>Indrawardana</w:t>
    </w:r>
    <w:proofErr w:type="spellEnd"/>
    <w:r w:rsidR="00980522">
      <w:rPr>
        <w:rFonts w:ascii="Calisto MT" w:hAnsi="Calisto MT" w:cs="Calisto MT"/>
        <w:sz w:val="18"/>
        <w:szCs w:val="18"/>
      </w:rPr>
      <w:t xml:space="preserve">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5D24" w14:textId="33EE1150" w:rsidR="00B17DA8" w:rsidRPr="00BC084A" w:rsidRDefault="00000000" w:rsidP="004D74D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w14:anchorId="5CA9C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1027" type="#_x0000_t75" style="position:absolute;left:0;text-align:left;margin-left:0;margin-top:0;width:243pt;height:242.25pt;z-index:-251657728;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sidR="00980522" w:rsidRPr="00142758">
      <w:rPr>
        <w:rFonts w:ascii="Calisto MT" w:hAnsi="Calisto MT" w:cs="Calisto MT"/>
        <w:b/>
        <w:bCs/>
        <w:color w:val="000000"/>
        <w:lang w:val="id-ID"/>
      </w:rPr>
      <w:t xml:space="preserve"> </w:t>
    </w:r>
    <w:r w:rsidR="00372592" w:rsidRPr="00372592">
      <w:rPr>
        <w:rFonts w:ascii="Calisto MT" w:hAnsi="Calisto MT" w:cs="Calisto MT"/>
        <w:sz w:val="18"/>
        <w:szCs w:val="18"/>
        <w:lang w:val="id-ID"/>
      </w:rPr>
      <w:t>Lokananta Teguh Hari Wiguno</w:t>
    </w:r>
    <w:r w:rsidR="00372592" w:rsidRPr="00372592">
      <w:rPr>
        <w:rFonts w:ascii="Calisto MT" w:hAnsi="Calisto MT" w:cs="Calisto MT"/>
        <w:b/>
        <w:bCs/>
        <w:sz w:val="18"/>
        <w:szCs w:val="18"/>
        <w:vertAlign w:val="superscript"/>
        <w:lang w:val="sv-SE"/>
      </w:rPr>
      <w:t xml:space="preserve"> </w:t>
    </w:r>
    <w:r w:rsidR="00980522" w:rsidRPr="005D5DE0">
      <w:rPr>
        <w:rFonts w:ascii="Calisto MT" w:hAnsi="Calisto MT" w:cs="Calisto MT"/>
        <w:color w:val="000000"/>
        <w:sz w:val="18"/>
        <w:szCs w:val="18"/>
      </w:rPr>
      <w:t xml:space="preserve">/ </w:t>
    </w:r>
    <w:r w:rsidR="00980522">
      <w:rPr>
        <w:rFonts w:ascii="Calisto MT" w:hAnsi="Calisto MT" w:cs="Calisto MT"/>
        <w:color w:val="000000"/>
        <w:sz w:val="18"/>
        <w:szCs w:val="18"/>
      </w:rPr>
      <w:t xml:space="preserve">Gelanggang Pendidikan Jasmani Indonesia Vol </w:t>
    </w:r>
    <w:r w:rsidR="001E7072">
      <w:rPr>
        <w:rFonts w:ascii="Calisto MT" w:hAnsi="Calisto MT" w:cs="Calisto MT"/>
        <w:color w:val="000000"/>
        <w:sz w:val="18"/>
        <w:szCs w:val="18"/>
      </w:rPr>
      <w:t xml:space="preserve">9 </w:t>
    </w:r>
    <w:r w:rsidR="00980522">
      <w:rPr>
        <w:rFonts w:ascii="Calisto MT" w:hAnsi="Calisto MT" w:cs="Calisto MT"/>
        <w:color w:val="000000"/>
        <w:sz w:val="18"/>
        <w:szCs w:val="18"/>
      </w:rPr>
      <w:t>(</w:t>
    </w:r>
    <w:r w:rsidR="001E7072">
      <w:rPr>
        <w:rFonts w:ascii="Calisto MT" w:hAnsi="Calisto MT" w:cs="Calisto MT"/>
        <w:color w:val="000000"/>
        <w:sz w:val="18"/>
        <w:szCs w:val="18"/>
      </w:rPr>
      <w:t>1</w:t>
    </w:r>
    <w:r w:rsidR="00980522">
      <w:rPr>
        <w:rFonts w:ascii="Calisto MT" w:hAnsi="Calisto MT" w:cs="Calisto MT"/>
        <w:color w:val="000000"/>
        <w:sz w:val="18"/>
        <w:szCs w:val="18"/>
      </w:rPr>
      <w:t>) (</w:t>
    </w:r>
    <w:r w:rsidR="001E7072">
      <w:rPr>
        <w:rFonts w:ascii="Calisto MT" w:hAnsi="Calisto MT" w:cs="Calisto MT"/>
        <w:color w:val="000000"/>
        <w:sz w:val="18"/>
        <w:szCs w:val="18"/>
      </w:rPr>
      <w:t>2025</w:t>
    </w:r>
    <w:r w:rsidR="00980522" w:rsidRPr="005D5DE0">
      <w:rPr>
        <w:rFonts w:ascii="Calisto MT" w:hAnsi="Calisto MT" w:cs="Calisto MT"/>
        <w:color w:val="00000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51C" w14:textId="77777777" w:rsidR="00B17DA8" w:rsidRDefault="00000000">
    <w:pPr>
      <w:pStyle w:val="Header"/>
    </w:pPr>
    <w:r>
      <w:rPr>
        <w:noProof/>
      </w:rPr>
      <w:pict w14:anchorId="179CB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1025" type="#_x0000_t75" style="position:absolute;left:0;text-align:left;margin-left:0;margin-top:0;width:243pt;height:242.25pt;z-index:-251656704;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92393"/>
    <w:multiLevelType w:val="hybridMultilevel"/>
    <w:tmpl w:val="F96082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5698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22"/>
    <w:rsid w:val="00001440"/>
    <w:rsid w:val="00010195"/>
    <w:rsid w:val="00017797"/>
    <w:rsid w:val="00020C48"/>
    <w:rsid w:val="00021743"/>
    <w:rsid w:val="000354B2"/>
    <w:rsid w:val="000358EE"/>
    <w:rsid w:val="0004499B"/>
    <w:rsid w:val="00047AC4"/>
    <w:rsid w:val="00080B73"/>
    <w:rsid w:val="0008281D"/>
    <w:rsid w:val="000A36FF"/>
    <w:rsid w:val="000A6740"/>
    <w:rsid w:val="000B6300"/>
    <w:rsid w:val="000C7B30"/>
    <w:rsid w:val="000D1D54"/>
    <w:rsid w:val="000E0D0C"/>
    <w:rsid w:val="000E3A21"/>
    <w:rsid w:val="000E5FC5"/>
    <w:rsid w:val="000E730D"/>
    <w:rsid w:val="000F04B0"/>
    <w:rsid w:val="000F354E"/>
    <w:rsid w:val="001009EE"/>
    <w:rsid w:val="00104692"/>
    <w:rsid w:val="00106545"/>
    <w:rsid w:val="0011319F"/>
    <w:rsid w:val="00130954"/>
    <w:rsid w:val="0014126D"/>
    <w:rsid w:val="0017131A"/>
    <w:rsid w:val="001A218A"/>
    <w:rsid w:val="001A544E"/>
    <w:rsid w:val="001C0FFD"/>
    <w:rsid w:val="001D0724"/>
    <w:rsid w:val="001D3FFC"/>
    <w:rsid w:val="001E2D60"/>
    <w:rsid w:val="001E7072"/>
    <w:rsid w:val="00215AF9"/>
    <w:rsid w:val="00217758"/>
    <w:rsid w:val="00237D43"/>
    <w:rsid w:val="00243DF2"/>
    <w:rsid w:val="002826C2"/>
    <w:rsid w:val="00290377"/>
    <w:rsid w:val="002950A6"/>
    <w:rsid w:val="002973D7"/>
    <w:rsid w:val="002A2D9A"/>
    <w:rsid w:val="002B720E"/>
    <w:rsid w:val="002C2B32"/>
    <w:rsid w:val="002D3655"/>
    <w:rsid w:val="002E667B"/>
    <w:rsid w:val="00302A31"/>
    <w:rsid w:val="00303CAF"/>
    <w:rsid w:val="003043A0"/>
    <w:rsid w:val="00307049"/>
    <w:rsid w:val="0031087B"/>
    <w:rsid w:val="0031094C"/>
    <w:rsid w:val="003110B1"/>
    <w:rsid w:val="00315057"/>
    <w:rsid w:val="00332625"/>
    <w:rsid w:val="003329EC"/>
    <w:rsid w:val="00341707"/>
    <w:rsid w:val="00353AF4"/>
    <w:rsid w:val="00372592"/>
    <w:rsid w:val="00387DC4"/>
    <w:rsid w:val="00395965"/>
    <w:rsid w:val="003A1D52"/>
    <w:rsid w:val="003A4B98"/>
    <w:rsid w:val="003B2987"/>
    <w:rsid w:val="003B54DB"/>
    <w:rsid w:val="003C5658"/>
    <w:rsid w:val="003D2619"/>
    <w:rsid w:val="003D41B4"/>
    <w:rsid w:val="003D5216"/>
    <w:rsid w:val="003E7F1C"/>
    <w:rsid w:val="003F2D81"/>
    <w:rsid w:val="00407551"/>
    <w:rsid w:val="00424CF6"/>
    <w:rsid w:val="004349AF"/>
    <w:rsid w:val="00447141"/>
    <w:rsid w:val="00457438"/>
    <w:rsid w:val="00460D61"/>
    <w:rsid w:val="004626F7"/>
    <w:rsid w:val="0047260D"/>
    <w:rsid w:val="00474FEB"/>
    <w:rsid w:val="00476D36"/>
    <w:rsid w:val="00481AD4"/>
    <w:rsid w:val="00481D3C"/>
    <w:rsid w:val="00483767"/>
    <w:rsid w:val="00493098"/>
    <w:rsid w:val="004952A5"/>
    <w:rsid w:val="004A03BD"/>
    <w:rsid w:val="004A275A"/>
    <w:rsid w:val="004F00BD"/>
    <w:rsid w:val="004F015A"/>
    <w:rsid w:val="00512DD1"/>
    <w:rsid w:val="005300C1"/>
    <w:rsid w:val="00533F5F"/>
    <w:rsid w:val="005409D8"/>
    <w:rsid w:val="00581943"/>
    <w:rsid w:val="00587B16"/>
    <w:rsid w:val="005927CF"/>
    <w:rsid w:val="005A0DF0"/>
    <w:rsid w:val="005A1042"/>
    <w:rsid w:val="005A6216"/>
    <w:rsid w:val="005B602C"/>
    <w:rsid w:val="005C53F4"/>
    <w:rsid w:val="005C594A"/>
    <w:rsid w:val="005D3E3A"/>
    <w:rsid w:val="005E1AA4"/>
    <w:rsid w:val="005E3AE7"/>
    <w:rsid w:val="005F1332"/>
    <w:rsid w:val="005F2E1F"/>
    <w:rsid w:val="006014EA"/>
    <w:rsid w:val="00617D1B"/>
    <w:rsid w:val="00623FA0"/>
    <w:rsid w:val="00625D9E"/>
    <w:rsid w:val="00640B2F"/>
    <w:rsid w:val="006415AF"/>
    <w:rsid w:val="0064316E"/>
    <w:rsid w:val="00643B9A"/>
    <w:rsid w:val="006453E8"/>
    <w:rsid w:val="00646E2D"/>
    <w:rsid w:val="00647DD5"/>
    <w:rsid w:val="0065059A"/>
    <w:rsid w:val="00653060"/>
    <w:rsid w:val="00660C1A"/>
    <w:rsid w:val="0066207E"/>
    <w:rsid w:val="006649E1"/>
    <w:rsid w:val="00673DE7"/>
    <w:rsid w:val="00674445"/>
    <w:rsid w:val="00674510"/>
    <w:rsid w:val="00676999"/>
    <w:rsid w:val="00684B31"/>
    <w:rsid w:val="00694393"/>
    <w:rsid w:val="006A3FD6"/>
    <w:rsid w:val="006A487D"/>
    <w:rsid w:val="006A7DC9"/>
    <w:rsid w:val="006B18CB"/>
    <w:rsid w:val="006B36D4"/>
    <w:rsid w:val="006C08DE"/>
    <w:rsid w:val="006C61C9"/>
    <w:rsid w:val="006D1569"/>
    <w:rsid w:val="006D5D8B"/>
    <w:rsid w:val="006E2079"/>
    <w:rsid w:val="006F059B"/>
    <w:rsid w:val="00731FA9"/>
    <w:rsid w:val="007335A0"/>
    <w:rsid w:val="00737698"/>
    <w:rsid w:val="007435B9"/>
    <w:rsid w:val="0074428C"/>
    <w:rsid w:val="00752798"/>
    <w:rsid w:val="007567C9"/>
    <w:rsid w:val="00770FFD"/>
    <w:rsid w:val="00777B7E"/>
    <w:rsid w:val="0078048B"/>
    <w:rsid w:val="00785142"/>
    <w:rsid w:val="00785A65"/>
    <w:rsid w:val="007A08A9"/>
    <w:rsid w:val="007D2916"/>
    <w:rsid w:val="007D4286"/>
    <w:rsid w:val="007E0A8E"/>
    <w:rsid w:val="007E0BD3"/>
    <w:rsid w:val="007E6C89"/>
    <w:rsid w:val="007F11B9"/>
    <w:rsid w:val="007F43B8"/>
    <w:rsid w:val="007F69D2"/>
    <w:rsid w:val="00802B05"/>
    <w:rsid w:val="00814200"/>
    <w:rsid w:val="0083158E"/>
    <w:rsid w:val="00833EB5"/>
    <w:rsid w:val="008340EC"/>
    <w:rsid w:val="00841880"/>
    <w:rsid w:val="008468FA"/>
    <w:rsid w:val="00846F1F"/>
    <w:rsid w:val="0087679D"/>
    <w:rsid w:val="008932D5"/>
    <w:rsid w:val="008975F1"/>
    <w:rsid w:val="008B2EB0"/>
    <w:rsid w:val="008B3D6D"/>
    <w:rsid w:val="008B4671"/>
    <w:rsid w:val="008C15D7"/>
    <w:rsid w:val="008E20AD"/>
    <w:rsid w:val="008E555B"/>
    <w:rsid w:val="008E638F"/>
    <w:rsid w:val="0091685E"/>
    <w:rsid w:val="00916AF8"/>
    <w:rsid w:val="009243FB"/>
    <w:rsid w:val="00932438"/>
    <w:rsid w:val="009328FF"/>
    <w:rsid w:val="00933BF2"/>
    <w:rsid w:val="0093665E"/>
    <w:rsid w:val="00941FC9"/>
    <w:rsid w:val="00945460"/>
    <w:rsid w:val="009556CE"/>
    <w:rsid w:val="00977AB4"/>
    <w:rsid w:val="00980522"/>
    <w:rsid w:val="00981780"/>
    <w:rsid w:val="0098307D"/>
    <w:rsid w:val="00986FD8"/>
    <w:rsid w:val="009975B6"/>
    <w:rsid w:val="009B0689"/>
    <w:rsid w:val="009B1D5B"/>
    <w:rsid w:val="009C0C01"/>
    <w:rsid w:val="009D4A83"/>
    <w:rsid w:val="009E5EFC"/>
    <w:rsid w:val="009F1C1E"/>
    <w:rsid w:val="009F6F65"/>
    <w:rsid w:val="00A01581"/>
    <w:rsid w:val="00A26D74"/>
    <w:rsid w:val="00A27209"/>
    <w:rsid w:val="00A32939"/>
    <w:rsid w:val="00A43198"/>
    <w:rsid w:val="00A44374"/>
    <w:rsid w:val="00A52F40"/>
    <w:rsid w:val="00A7005A"/>
    <w:rsid w:val="00A71A15"/>
    <w:rsid w:val="00A7750F"/>
    <w:rsid w:val="00A87C42"/>
    <w:rsid w:val="00A935B9"/>
    <w:rsid w:val="00AA449A"/>
    <w:rsid w:val="00AA4E4F"/>
    <w:rsid w:val="00AB6323"/>
    <w:rsid w:val="00AB6FCB"/>
    <w:rsid w:val="00AD11EA"/>
    <w:rsid w:val="00AD31E8"/>
    <w:rsid w:val="00AE0E58"/>
    <w:rsid w:val="00AF37B6"/>
    <w:rsid w:val="00B056F2"/>
    <w:rsid w:val="00B1294B"/>
    <w:rsid w:val="00B17DA8"/>
    <w:rsid w:val="00B2266F"/>
    <w:rsid w:val="00B232AE"/>
    <w:rsid w:val="00B30824"/>
    <w:rsid w:val="00B361C5"/>
    <w:rsid w:val="00B42A25"/>
    <w:rsid w:val="00B539F8"/>
    <w:rsid w:val="00B61B53"/>
    <w:rsid w:val="00B664B8"/>
    <w:rsid w:val="00B75324"/>
    <w:rsid w:val="00B824DC"/>
    <w:rsid w:val="00B8664C"/>
    <w:rsid w:val="00B931F0"/>
    <w:rsid w:val="00BA392A"/>
    <w:rsid w:val="00BA517C"/>
    <w:rsid w:val="00BA6045"/>
    <w:rsid w:val="00BB0FA4"/>
    <w:rsid w:val="00BC1865"/>
    <w:rsid w:val="00BC7F8B"/>
    <w:rsid w:val="00BE3466"/>
    <w:rsid w:val="00BE45B4"/>
    <w:rsid w:val="00BE642A"/>
    <w:rsid w:val="00C20A2C"/>
    <w:rsid w:val="00C31772"/>
    <w:rsid w:val="00C66A55"/>
    <w:rsid w:val="00C769DA"/>
    <w:rsid w:val="00C91AA7"/>
    <w:rsid w:val="00CA37A8"/>
    <w:rsid w:val="00CA6D45"/>
    <w:rsid w:val="00CB6A36"/>
    <w:rsid w:val="00CC3768"/>
    <w:rsid w:val="00CC7C5D"/>
    <w:rsid w:val="00CC7CD5"/>
    <w:rsid w:val="00CE20B4"/>
    <w:rsid w:val="00CE251F"/>
    <w:rsid w:val="00D05D95"/>
    <w:rsid w:val="00D07ADF"/>
    <w:rsid w:val="00D11494"/>
    <w:rsid w:val="00D120DD"/>
    <w:rsid w:val="00D1248F"/>
    <w:rsid w:val="00D3032B"/>
    <w:rsid w:val="00D30D0F"/>
    <w:rsid w:val="00D3367B"/>
    <w:rsid w:val="00D34464"/>
    <w:rsid w:val="00D52A5D"/>
    <w:rsid w:val="00D55EAE"/>
    <w:rsid w:val="00D62398"/>
    <w:rsid w:val="00D630F3"/>
    <w:rsid w:val="00D66675"/>
    <w:rsid w:val="00D8281A"/>
    <w:rsid w:val="00D82CFF"/>
    <w:rsid w:val="00D873E1"/>
    <w:rsid w:val="00D93DC1"/>
    <w:rsid w:val="00DA1E5F"/>
    <w:rsid w:val="00DC0D42"/>
    <w:rsid w:val="00DC2655"/>
    <w:rsid w:val="00DC53F7"/>
    <w:rsid w:val="00DE6357"/>
    <w:rsid w:val="00DF5845"/>
    <w:rsid w:val="00DF7A57"/>
    <w:rsid w:val="00E0220D"/>
    <w:rsid w:val="00E0628E"/>
    <w:rsid w:val="00E16869"/>
    <w:rsid w:val="00E17507"/>
    <w:rsid w:val="00E211CF"/>
    <w:rsid w:val="00E24C1B"/>
    <w:rsid w:val="00E35B0C"/>
    <w:rsid w:val="00E47C60"/>
    <w:rsid w:val="00E5767E"/>
    <w:rsid w:val="00E747C0"/>
    <w:rsid w:val="00E82019"/>
    <w:rsid w:val="00E8270D"/>
    <w:rsid w:val="00E937F8"/>
    <w:rsid w:val="00EC761F"/>
    <w:rsid w:val="00EE051D"/>
    <w:rsid w:val="00EE5867"/>
    <w:rsid w:val="00EF3F15"/>
    <w:rsid w:val="00F11F55"/>
    <w:rsid w:val="00F34D40"/>
    <w:rsid w:val="00F42EAD"/>
    <w:rsid w:val="00F50102"/>
    <w:rsid w:val="00F51B85"/>
    <w:rsid w:val="00F802FE"/>
    <w:rsid w:val="00F86BE4"/>
    <w:rsid w:val="00F870E4"/>
    <w:rsid w:val="00F87D31"/>
    <w:rsid w:val="00F9018D"/>
    <w:rsid w:val="00FA35D6"/>
    <w:rsid w:val="00FA54F9"/>
    <w:rsid w:val="00FB16B7"/>
    <w:rsid w:val="00FB2765"/>
    <w:rsid w:val="00FB29AF"/>
    <w:rsid w:val="00FC6C94"/>
    <w:rsid w:val="00FC7C83"/>
    <w:rsid w:val="00F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73F79"/>
  <w15:chartTrackingRefBased/>
  <w15:docId w15:val="{895F8BDB-1472-4384-9A35-D57BEB80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0522"/>
    <w:pPr>
      <w:spacing w:before="100" w:beforeAutospacing="1" w:after="100" w:afterAutospacing="1" w:line="240" w:lineRule="auto"/>
      <w:ind w:left="-57" w:right="-57"/>
      <w:jc w:val="center"/>
    </w:pPr>
  </w:style>
  <w:style w:type="paragraph" w:styleId="Heading2">
    <w:name w:val="heading 2"/>
    <w:aliases w:val="3 BAB"/>
    <w:basedOn w:val="Normal"/>
    <w:next w:val="Normal"/>
    <w:link w:val="Heading2Char"/>
    <w:uiPriority w:val="9"/>
    <w:unhideWhenUsed/>
    <w:qFormat/>
    <w:rsid w:val="00980522"/>
    <w:pPr>
      <w:suppressAutoHyphens/>
      <w:autoSpaceDE w:val="0"/>
      <w:autoSpaceDN w:val="0"/>
      <w:adjustRightInd w:val="0"/>
      <w:spacing w:before="0" w:beforeAutospacing="0" w:after="0" w:afterAutospacing="0" w:line="288" w:lineRule="auto"/>
      <w:ind w:left="0" w:right="0"/>
      <w:jc w:val="both"/>
      <w:textAlignment w:val="center"/>
      <w:outlineLvl w:val="1"/>
    </w:pPr>
    <w:rPr>
      <w:rFonts w:ascii="Calisto MT" w:hAnsi="Calisto MT" w:cs="Calisto MT"/>
      <w:b/>
      <w:bCs/>
      <w:caps/>
      <w:color w:val="000000"/>
      <w:sz w:val="20"/>
      <w:szCs w:val="20"/>
      <w:lang w:val="fi-FI"/>
    </w:rPr>
  </w:style>
  <w:style w:type="paragraph" w:styleId="Heading4">
    <w:name w:val="heading 4"/>
    <w:aliases w:val="5 ISI"/>
    <w:basedOn w:val="Normal"/>
    <w:next w:val="Normal"/>
    <w:link w:val="Heading4Char"/>
    <w:uiPriority w:val="9"/>
    <w:unhideWhenUsed/>
    <w:qFormat/>
    <w:rsid w:val="00980522"/>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980522"/>
    <w:rPr>
      <w:rFonts w:ascii="Calisto MT" w:hAnsi="Calisto MT" w:cs="Calisto MT"/>
      <w:b/>
      <w:bCs/>
      <w:caps/>
      <w:color w:val="000000"/>
      <w:sz w:val="20"/>
      <w:szCs w:val="20"/>
      <w:lang w:val="fi-FI"/>
    </w:rPr>
  </w:style>
  <w:style w:type="character" w:customStyle="1" w:styleId="Heading4Char">
    <w:name w:val="Heading 4 Char"/>
    <w:aliases w:val="5 ISI Char"/>
    <w:basedOn w:val="DefaultParagraphFont"/>
    <w:link w:val="Heading4"/>
    <w:uiPriority w:val="9"/>
    <w:rsid w:val="00980522"/>
    <w:rPr>
      <w:rFonts w:ascii="Calisto MT" w:hAnsi="Calisto MT" w:cs="Calisto MT"/>
      <w:color w:val="000000"/>
      <w:sz w:val="20"/>
      <w:szCs w:val="20"/>
      <w:lang w:val="id-ID"/>
    </w:rPr>
  </w:style>
  <w:style w:type="paragraph" w:customStyle="1" w:styleId="BasicParagraph">
    <w:name w:val="[Basic Paragraph]"/>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98052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980522"/>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980522"/>
    <w:pPr>
      <w:tabs>
        <w:tab w:val="center" w:pos="4680"/>
        <w:tab w:val="right" w:pos="9360"/>
      </w:tabs>
      <w:spacing w:before="0" w:after="0"/>
    </w:pPr>
  </w:style>
  <w:style w:type="character" w:customStyle="1" w:styleId="HeaderChar">
    <w:name w:val="Header Char"/>
    <w:basedOn w:val="DefaultParagraphFont"/>
    <w:link w:val="Header"/>
    <w:uiPriority w:val="99"/>
    <w:rsid w:val="00980522"/>
  </w:style>
  <w:style w:type="paragraph" w:styleId="Footer">
    <w:name w:val="footer"/>
    <w:basedOn w:val="Normal"/>
    <w:link w:val="FooterChar"/>
    <w:uiPriority w:val="99"/>
    <w:unhideWhenUsed/>
    <w:rsid w:val="00980522"/>
    <w:pPr>
      <w:tabs>
        <w:tab w:val="center" w:pos="4680"/>
        <w:tab w:val="right" w:pos="9360"/>
      </w:tabs>
      <w:spacing w:before="0" w:after="0"/>
    </w:pPr>
  </w:style>
  <w:style w:type="character" w:customStyle="1" w:styleId="FooterChar">
    <w:name w:val="Footer Char"/>
    <w:basedOn w:val="DefaultParagraphFont"/>
    <w:link w:val="Footer"/>
    <w:uiPriority w:val="99"/>
    <w:rsid w:val="00980522"/>
  </w:style>
  <w:style w:type="paragraph" w:styleId="ListParagraph">
    <w:name w:val="List Paragraph"/>
    <w:aliases w:val="Body of text,List Paragraph1,Medium Grid 1 - Accent 21,Body of text+1,Body of text+2,Body of text+3,List Paragraph11,Colorful List - Accent 11,HEADING 1,soal jawab,Body of textCxSp,Heading 31,rpp3,Sub sub"/>
    <w:basedOn w:val="Normal"/>
    <w:uiPriority w:val="34"/>
    <w:qFormat/>
    <w:rsid w:val="00731FA9"/>
    <w:pPr>
      <w:spacing w:before="0" w:beforeAutospacing="0" w:after="0" w:afterAutospacing="0" w:line="360" w:lineRule="auto"/>
      <w:ind w:left="720" w:right="0"/>
      <w:contextualSpacing/>
      <w:jc w:val="left"/>
    </w:pPr>
    <w:rPr>
      <w:rFonts w:ascii="Times New Roman" w:eastAsia="Times New Roman" w:hAnsi="Times New Roman" w:cs="Times New Roman"/>
      <w:color w:val="000000" w:themeColor="text1"/>
      <w:sz w:val="24"/>
      <w:lang w:val="id-ID" w:eastAsia="id-ID"/>
    </w:rPr>
  </w:style>
  <w:style w:type="table" w:styleId="TableGrid">
    <w:name w:val="Table Grid"/>
    <w:basedOn w:val="TableNormal"/>
    <w:uiPriority w:val="39"/>
    <w:rsid w:val="00D6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2592"/>
    <w:rPr>
      <w:color w:val="0563C1" w:themeColor="hyperlink"/>
      <w:u w:val="single"/>
    </w:rPr>
  </w:style>
  <w:style w:type="character" w:styleId="UnresolvedMention">
    <w:name w:val="Unresolved Mention"/>
    <w:basedOn w:val="DefaultParagraphFont"/>
    <w:uiPriority w:val="99"/>
    <w:semiHidden/>
    <w:unhideWhenUsed/>
    <w:rsid w:val="00372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kananta.teguh.fik@um.ac.i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okananta.teguh.fik@um.a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FB0F2-25D8-41DE-A408-AB2D8DFB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16558</Words>
  <Characters>94382</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 Sandy Yudasmara</dc:creator>
  <cp:keywords/>
  <dc:description/>
  <cp:lastModifiedBy>Fajar Raya</cp:lastModifiedBy>
  <cp:revision>2</cp:revision>
  <cp:lastPrinted>2025-01-19T23:39:00Z</cp:lastPrinted>
  <dcterms:created xsi:type="dcterms:W3CDTF">2025-07-11T06:54:00Z</dcterms:created>
  <dcterms:modified xsi:type="dcterms:W3CDTF">2025-07-11T06:54:00Z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http://www.zotero.org/styles/apa-5th-edition</vt:lpwstr>
  </property>
  <property fmtid="{D5CDD505-2E9C-101B-9397-08002B2CF9AE}" pid="3" name="Mendeley Recent Style Name 0_1">
    <vt:lpwstr>American Psychological Association 5th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http://csl.mendeley.com/styles/576132331/apa-7</vt:lpwstr>
  </property>
  <property fmtid="{D5CDD505-2E9C-101B-9397-08002B2CF9AE}" pid="9" name="Mendeley Recent Style Name 3_1">
    <vt:lpwstr>American Psychological Association 7th edition - kuncoro sigit</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46684e65-a42e-30e8-9d94-4ce8b9d82d98</vt:lpwstr>
  </property>
  <property fmtid="{D5CDD505-2E9C-101B-9397-08002B2CF9AE}" pid="24" name="Mendeley Citation Style_1">
    <vt:lpwstr>http://www.zotero.org/styles/apa</vt:lpwstr>
  </property>
</Properties>
</file>